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山西西山中煤机械制造有限公司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2021年一季度财务重大信息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一、企业基本情况：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sz w:val="32"/>
          <w:szCs w:val="32"/>
        </w:rPr>
        <w:t>山西西山中煤机械制造有限公司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（以下简称“西山中煤公司”）</w:t>
      </w:r>
      <w:r>
        <w:rPr>
          <w:rFonts w:hint="eastAsia" w:ascii="仿宋_GB2312" w:eastAsia="仿宋_GB2312"/>
          <w:b w:val="0"/>
          <w:sz w:val="32"/>
          <w:szCs w:val="32"/>
        </w:rPr>
        <w:t>是西山煤电集团公司的控股子公司。公司成立于2009年8月，位于省会太原西山矿区，是一家</w:t>
      </w:r>
      <w:r>
        <w:rPr>
          <w:rFonts w:hint="eastAsia" w:ascii="仿宋_GB2312" w:hAnsi="宋体" w:eastAsia="仿宋_GB2312"/>
          <w:b w:val="0"/>
          <w:sz w:val="32"/>
          <w:szCs w:val="32"/>
        </w:rPr>
        <w:t>具有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多种型号滚筒式</w:t>
      </w:r>
      <w:r>
        <w:rPr>
          <w:rFonts w:hint="eastAsia" w:ascii="仿宋_GB2312" w:hAnsi="宋体" w:eastAsia="仿宋_GB2312"/>
          <w:b w:val="0"/>
          <w:sz w:val="32"/>
          <w:szCs w:val="32"/>
        </w:rPr>
        <w:t>采煤机、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悬臂式</w:t>
      </w:r>
      <w:r>
        <w:rPr>
          <w:rFonts w:hint="eastAsia" w:ascii="仿宋_GB2312" w:hAnsi="宋体" w:eastAsia="仿宋_GB2312"/>
          <w:b w:val="0"/>
          <w:sz w:val="32"/>
          <w:szCs w:val="32"/>
        </w:rPr>
        <w:t>掘进机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、掘锚机</w:t>
      </w:r>
      <w:r>
        <w:rPr>
          <w:rFonts w:hint="eastAsia" w:ascii="仿宋_GB2312" w:hAnsi="宋体" w:eastAsia="仿宋_GB2312"/>
          <w:b w:val="0"/>
          <w:sz w:val="32"/>
          <w:szCs w:val="32"/>
        </w:rPr>
        <w:t>、防爆无轨胶轮车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、钻具、钻杆、水煤泥自动分离系统等煤矿用配套设备</w:t>
      </w:r>
      <w:r>
        <w:rPr>
          <w:rFonts w:hint="eastAsia" w:ascii="仿宋_GB2312" w:hAnsi="宋体" w:eastAsia="仿宋_GB2312"/>
          <w:b w:val="0"/>
          <w:sz w:val="32"/>
          <w:szCs w:val="32"/>
        </w:rPr>
        <w:t>生产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制造</w:t>
      </w:r>
      <w:r>
        <w:rPr>
          <w:rFonts w:hint="eastAsia" w:ascii="仿宋_GB2312" w:hAnsi="宋体" w:eastAsia="仿宋_GB2312"/>
          <w:b w:val="0"/>
          <w:sz w:val="32"/>
          <w:szCs w:val="32"/>
        </w:rPr>
        <w:t>能力</w:t>
      </w:r>
      <w:r>
        <w:rPr>
          <w:rFonts w:hint="eastAsia" w:ascii="仿宋_GB2312" w:hAnsi="宋体" w:eastAsia="仿宋_GB2312"/>
          <w:b w:val="0"/>
          <w:sz w:val="32"/>
          <w:szCs w:val="32"/>
          <w:lang w:eastAsia="zh-CN"/>
        </w:rPr>
        <w:t>以及矿用综采设备大修能力的</w:t>
      </w:r>
      <w:r>
        <w:rPr>
          <w:rFonts w:hint="eastAsia" w:ascii="仿宋_GB2312" w:eastAsia="仿宋_GB2312"/>
          <w:b w:val="0"/>
          <w:sz w:val="32"/>
          <w:szCs w:val="32"/>
        </w:rPr>
        <w:t>煤机装备制造企业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经营范围为：矿山机电设备及其零配件、生产、销售、修理；矿山机电设备的技术研发；机械设备租赁；钢材、建材、有色金属（不含贵稀金属）、化工产品（不含危险品）、煤制品（不含洗选道煤）的销售；道路普通货物运输；场地租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</w:rPr>
        <w:t>公司注册资本5000万元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西山煤电（集团）有限责任公司出资额为2550万元，占51%股份；上海创力集团股份有限公司出资额为2450万元，占49%股份。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进入发展新阶段，西山中煤公司将全面贯彻落实山西焦煤“三个三年三步走”战略规划，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hAnsi="黑体" w:eastAsia="仿宋_GB2312" w:cs="Times New Roman"/>
          <w:b w:val="0"/>
          <w:bCs w:val="0"/>
          <w:sz w:val="32"/>
          <w:szCs w:val="32"/>
          <w:highlight w:val="none"/>
          <w:lang w:eastAsia="zh-CN"/>
        </w:rPr>
        <w:t>实现“零”目标。</w:t>
      </w:r>
      <w:r>
        <w:rPr>
          <w:rFonts w:hint="eastAsia" w:ascii="仿宋_GB2312" w:hAnsi="黑体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积极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开拓市场，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加大修理市场的开发力度，努力承揽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集团外部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煤矿机电设备修理业务及采掘设备配件的销售业务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黑体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同时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拓展新业务，争取为实现经济高质量转型发展做出重大贡献。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81" w:leftChars="0" w:firstLine="0" w:firstLineChars="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主要会计数据和财务指标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81" w:leftChars="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81" w:leftChars="0"/>
        <w:jc w:val="center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2021年一季度（1-3月）财务状况基本数据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单位：万元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eastAsia="zh-CN"/>
        </w:rPr>
        <w:t>项目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   期末余额       项目       细末余额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资产总额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23968.60      负债总额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15601.91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所有者权益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8366.70        存货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2358.65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应收账款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14818.26      应付账款  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15185.44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固定资产净额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362.14        应交税费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11.47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2021年一季度（1-3月）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经营成果基本数据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单位：万元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eastAsia="zh-CN"/>
        </w:rPr>
        <w:t>项目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   本年累计       项目       本年累计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营业收入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 460.80 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销售费用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65.01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管理费用         111.62 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财务费用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-1.23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0" w:firstLineChars="100"/>
        <w:jc w:val="left"/>
        <w:textAlignment w:val="auto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>利润总额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  -67.04 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净利润</w:t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b w:val="0"/>
          <w:sz w:val="30"/>
          <w:szCs w:val="30"/>
          <w:lang w:val="en-US" w:eastAsia="zh-CN"/>
        </w:rPr>
        <w:t xml:space="preserve">     -67.04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预算执行情况：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2021年1-3月实现营业收入460.80 万元，完成全年预算的2.71%；实现利润-67.04 万元，完成全年预算的-9.86%。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85B81"/>
    <w:multiLevelType w:val="singleLevel"/>
    <w:tmpl w:val="3F585B81"/>
    <w:lvl w:ilvl="0" w:tentative="0">
      <w:start w:val="2"/>
      <w:numFmt w:val="chineseCounting"/>
      <w:suff w:val="nothing"/>
      <w:lvlText w:val="%1、"/>
      <w:lvlJc w:val="left"/>
      <w:pPr>
        <w:ind w:left="48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655E"/>
    <w:rsid w:val="1C3A3D8A"/>
    <w:rsid w:val="2BBE4848"/>
    <w:rsid w:val="4DA5643A"/>
    <w:rsid w:val="6FC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2022-01-27T08:30:00Z</dcterms:created>
  <dc:creator>肖起沛</dc:creator>
  <cp:lastModifiedBy>王文业</cp:lastModifiedBy>
  <dcterms:modified xsi:type="dcterms:W3CDTF">2022-01-30T07:55:58Z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2ACBBDE9054B4543941D1C57B5FAB806</vt:lpwstr>
  </property>
</Properties>
</file>