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山西西山煤电邢家社煤业有限公司</w:t>
      </w:r>
    </w:p>
    <w:p>
      <w:pPr>
        <w:jc w:val="center"/>
        <w:rPr>
          <w:rFonts w:ascii="宋体" w:hAnsi="宋体" w:eastAsia="宋体" w:cs="宋体"/>
          <w:b/>
          <w:bCs/>
          <w:sz w:val="44"/>
          <w:szCs w:val="44"/>
        </w:rPr>
      </w:pPr>
      <w:r>
        <w:rPr>
          <w:rFonts w:hint="eastAsia" w:ascii="宋体" w:hAnsi="宋体" w:eastAsia="宋体" w:cs="宋体"/>
          <w:b/>
          <w:bCs/>
          <w:sz w:val="44"/>
          <w:szCs w:val="44"/>
        </w:rPr>
        <w:t>2021年度（1-12月份）财务重大信息</w:t>
      </w:r>
    </w:p>
    <w:p>
      <w:pPr>
        <w:ind w:firstLine="640" w:firstLineChars="200"/>
        <w:rPr>
          <w:rFonts w:ascii="仿宋_GB2312" w:hAnsi="仿宋_GB2312" w:eastAsia="仿宋_GB2312" w:cs="仿宋_GB2312"/>
          <w:sz w:val="32"/>
          <w:szCs w:val="32"/>
        </w:rPr>
      </w:pPr>
    </w:p>
    <w:p>
      <w:pPr>
        <w:ind w:firstLine="480" w:firstLineChars="150"/>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企业基本情况</w:t>
      </w:r>
    </w:p>
    <w:p>
      <w:pPr>
        <w:pStyle w:val="9"/>
        <w:spacing w:line="540" w:lineRule="atLeast"/>
        <w:ind w:left="42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山西西山煤电邢家社煤业有限公司经山西省国有资产监督管理委员会晋国资改革函〔2013〕312号批准，成立于2013年8月20日。企业法人营业执照注册号为140000110112593，注册资本金5000万元。其中，西山煤电（集团）有限责任公司出资3500万元，占股比70%；海天云公司出资1500万元，占股比30%。 西山煤电（集团）有限责任公司绝对控股开发邢家社井田煤炭资源。邢家社井田位于古交市，是具备国家矿业权设置方案设置和规划建设的矿井，设计生产能力为300万吨/年，并配套建设有同规模选煤厂，生产煤种主要有主焦煤、贫瘦煤、瘦煤。国土资函〔2013〕164号《国土资源部关于山西省西山古交和柳林煤炭国家规划矿区矿业权设置方案（修编）的批复》中设置了邢家社井田采矿权，开发主体为西山煤电（集团）有限责任公司，井田范围为26.937km2，储量为22620万吨。</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黑体" w:hAnsi="黑体" w:eastAsia="黑体" w:cs="黑体"/>
          <w:color w:val="000000"/>
          <w:kern w:val="0"/>
          <w:sz w:val="31"/>
          <w:szCs w:val="31"/>
          <w:lang w:bidi="ar"/>
        </w:rPr>
        <w:t>二、公司治理及管理架构、重要人事变动</w:t>
      </w:r>
    </w:p>
    <w:p>
      <w:pPr>
        <w:rPr>
          <w:rFonts w:ascii="黑体" w:hAnsi="黑体" w:eastAsia="黑体" w:cs="黑体"/>
          <w:sz w:val="32"/>
          <w:szCs w:val="32"/>
        </w:rPr>
      </w:pPr>
    </w:p>
    <w:p>
      <w:pPr>
        <w:widowControl/>
        <w:spacing w:line="600" w:lineRule="exact"/>
        <w:ind w:firstLine="620" w:firstLineChars="200"/>
        <w:jc w:val="left"/>
        <w:rPr>
          <w:rFonts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三、企业主要财务状况和经营成果、国有资本保值增值情况</w:t>
      </w:r>
    </w:p>
    <w:p>
      <w:pPr>
        <w:widowControl/>
        <w:spacing w:line="60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（一）财务状况基本数据</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资产期末余额</w:t>
      </w:r>
      <w:r>
        <w:rPr>
          <w:rFonts w:ascii="仿宋_GB2312" w:hAnsi="宋体" w:eastAsia="仿宋_GB2312" w:cs="仿宋_GB2312"/>
          <w:color w:val="000000"/>
          <w:kern w:val="0"/>
          <w:sz w:val="31"/>
          <w:szCs w:val="31"/>
          <w:lang w:bidi="ar"/>
        </w:rPr>
        <w:t>4586.54</w:t>
      </w:r>
      <w:r>
        <w:rPr>
          <w:rFonts w:hint="eastAsia" w:ascii="仿宋_GB2312" w:hAnsi="宋体" w:eastAsia="仿宋_GB2312" w:cs="仿宋_GB2312"/>
          <w:color w:val="000000"/>
          <w:kern w:val="0"/>
          <w:sz w:val="31"/>
          <w:szCs w:val="31"/>
          <w:lang w:bidi="ar"/>
        </w:rPr>
        <w:t>万元，负债期末余额</w:t>
      </w:r>
      <w:r>
        <w:rPr>
          <w:rFonts w:ascii="仿宋_GB2312" w:hAnsi="宋体" w:eastAsia="仿宋_GB2312" w:cs="仿宋_GB2312"/>
          <w:color w:val="000000"/>
          <w:kern w:val="0"/>
          <w:sz w:val="31"/>
          <w:szCs w:val="31"/>
          <w:lang w:bidi="ar"/>
        </w:rPr>
        <w:t>2002.48</w:t>
      </w:r>
      <w:r>
        <w:rPr>
          <w:rFonts w:hint="eastAsia" w:ascii="仿宋_GB2312" w:hAnsi="宋体" w:eastAsia="仿宋_GB2312" w:cs="仿宋_GB2312"/>
          <w:color w:val="000000"/>
          <w:kern w:val="0"/>
          <w:sz w:val="31"/>
          <w:szCs w:val="31"/>
          <w:lang w:bidi="ar"/>
        </w:rPr>
        <w:t>万元，所有者权益期末余额</w:t>
      </w:r>
      <w:r>
        <w:rPr>
          <w:rFonts w:ascii="仿宋_GB2312" w:hAnsi="宋体" w:eastAsia="仿宋_GB2312" w:cs="仿宋_GB2312"/>
          <w:color w:val="000000"/>
          <w:kern w:val="0"/>
          <w:sz w:val="31"/>
          <w:szCs w:val="31"/>
          <w:lang w:bidi="ar"/>
        </w:rPr>
        <w:t>2584.06</w:t>
      </w:r>
      <w:r>
        <w:rPr>
          <w:rFonts w:hint="eastAsia" w:ascii="仿宋_GB2312" w:hAnsi="宋体" w:eastAsia="仿宋_GB2312" w:cs="仿宋_GB2312"/>
          <w:color w:val="000000"/>
          <w:kern w:val="0"/>
          <w:sz w:val="31"/>
          <w:szCs w:val="31"/>
          <w:lang w:bidi="ar"/>
        </w:rPr>
        <w:t>万元，固定资产净值期末余额</w:t>
      </w:r>
      <w:r>
        <w:rPr>
          <w:rFonts w:ascii="仿宋_GB2312" w:hAnsi="宋体" w:eastAsia="仿宋_GB2312" w:cs="仿宋_GB2312"/>
          <w:color w:val="000000"/>
          <w:kern w:val="0"/>
          <w:sz w:val="31"/>
          <w:szCs w:val="31"/>
          <w:lang w:bidi="ar"/>
        </w:rPr>
        <w:t>0.03</w:t>
      </w:r>
      <w:r>
        <w:rPr>
          <w:rFonts w:hint="eastAsia" w:ascii="仿宋_GB2312" w:hAnsi="宋体" w:eastAsia="仿宋_GB2312" w:cs="仿宋_GB2312"/>
          <w:color w:val="000000"/>
          <w:kern w:val="0"/>
          <w:sz w:val="31"/>
          <w:szCs w:val="31"/>
          <w:lang w:bidi="ar"/>
        </w:rPr>
        <w:t>万元。</w:t>
      </w:r>
    </w:p>
    <w:p>
      <w:pPr>
        <w:widowControl/>
        <w:spacing w:line="60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（二）经营成果基本数据</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2021年，实现营业收入</w:t>
      </w:r>
      <w:r>
        <w:rPr>
          <w:rFonts w:ascii="仿宋_GB2312" w:hAnsi="宋体" w:eastAsia="仿宋_GB2312" w:cs="仿宋_GB2312"/>
          <w:color w:val="000000"/>
          <w:kern w:val="0"/>
          <w:sz w:val="31"/>
          <w:szCs w:val="31"/>
          <w:lang w:bidi="ar"/>
        </w:rPr>
        <w:t>44.44</w:t>
      </w:r>
      <w:r>
        <w:rPr>
          <w:rFonts w:hint="eastAsia" w:ascii="仿宋_GB2312" w:hAnsi="宋体" w:eastAsia="仿宋_GB2312" w:cs="仿宋_GB2312"/>
          <w:color w:val="000000"/>
          <w:kern w:val="0"/>
          <w:sz w:val="31"/>
          <w:szCs w:val="31"/>
          <w:lang w:bidi="ar"/>
        </w:rPr>
        <w:t>万元，利润总额</w:t>
      </w:r>
      <w:r>
        <w:rPr>
          <w:rFonts w:ascii="仿宋_GB2312" w:hAnsi="宋体" w:eastAsia="仿宋_GB2312" w:cs="仿宋_GB2312"/>
          <w:color w:val="000000"/>
          <w:kern w:val="0"/>
          <w:sz w:val="31"/>
          <w:szCs w:val="31"/>
          <w:lang w:bidi="ar"/>
        </w:rPr>
        <w:t>-181.46</w:t>
      </w:r>
      <w:r>
        <w:rPr>
          <w:rFonts w:hint="eastAsia" w:ascii="仿宋_GB2312" w:hAnsi="宋体" w:eastAsia="仿宋_GB2312" w:cs="仿宋_GB2312"/>
          <w:color w:val="000000"/>
          <w:kern w:val="0"/>
          <w:sz w:val="31"/>
          <w:szCs w:val="31"/>
          <w:lang w:bidi="ar"/>
        </w:rPr>
        <w:t>万元。</w:t>
      </w:r>
    </w:p>
    <w:p>
      <w:pPr>
        <w:widowControl/>
        <w:spacing w:line="60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（三）国有资本保值增值</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2021年国有资本保值增值率</w:t>
      </w:r>
      <w:r>
        <w:rPr>
          <w:rFonts w:ascii="仿宋_GB2312" w:hAnsi="宋体" w:eastAsia="仿宋_GB2312" w:cs="仿宋_GB2312"/>
          <w:color w:val="000000"/>
          <w:kern w:val="0"/>
          <w:sz w:val="31"/>
          <w:szCs w:val="31"/>
          <w:lang w:bidi="ar"/>
        </w:rPr>
        <w:t>9</w:t>
      </w:r>
      <w:r>
        <w:rPr>
          <w:rFonts w:hint="eastAsia" w:ascii="仿宋_GB2312" w:hAnsi="宋体" w:eastAsia="仿宋_GB2312" w:cs="仿宋_GB2312"/>
          <w:color w:val="000000"/>
          <w:kern w:val="0"/>
          <w:sz w:val="31"/>
          <w:szCs w:val="31"/>
          <w:lang w:val="en-US" w:eastAsia="zh-CN" w:bidi="ar"/>
        </w:rPr>
        <w:t>3.44</w:t>
      </w:r>
      <w:bookmarkStart w:id="0" w:name="_GoBack"/>
      <w:bookmarkEnd w:id="0"/>
      <w:r>
        <w:rPr>
          <w:rFonts w:hint="eastAsia" w:ascii="仿宋_GB2312" w:hAnsi="宋体" w:eastAsia="仿宋_GB2312" w:cs="仿宋_GB2312"/>
          <w:color w:val="000000"/>
          <w:kern w:val="0"/>
          <w:sz w:val="31"/>
          <w:szCs w:val="31"/>
          <w:lang w:bidi="ar"/>
        </w:rPr>
        <w:t>%。</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黑体" w:hAnsi="黑体" w:eastAsia="黑体" w:cs="黑体"/>
          <w:color w:val="000000"/>
          <w:kern w:val="0"/>
          <w:sz w:val="31"/>
          <w:szCs w:val="31"/>
          <w:lang w:bidi="ar"/>
        </w:rPr>
        <w:t>四、企业主要产品产量完成情况</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煤炭产业：</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电力：</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产品：</w:t>
      </w:r>
    </w:p>
    <w:p>
      <w:pPr>
        <w:widowControl/>
        <w:spacing w:line="600" w:lineRule="exact"/>
        <w:ind w:firstLine="620" w:firstLineChars="200"/>
        <w:jc w:val="left"/>
        <w:rPr>
          <w:rFonts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五、企业重大改制重组结果</w:t>
      </w:r>
    </w:p>
    <w:p>
      <w:pPr>
        <w:widowControl/>
        <w:spacing w:line="600" w:lineRule="exact"/>
        <w:ind w:firstLine="620" w:firstLineChars="200"/>
        <w:jc w:val="left"/>
        <w:rPr>
          <w:rFonts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六、企业履行社会责任情况</w:t>
      </w:r>
    </w:p>
    <w:p>
      <w:pPr>
        <w:widowControl/>
        <w:spacing w:line="60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（一）环境责任：</w:t>
      </w:r>
    </w:p>
    <w:p>
      <w:pPr>
        <w:widowControl/>
        <w:spacing w:line="60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（二）企业责任：</w:t>
      </w:r>
    </w:p>
    <w:p>
      <w:pPr>
        <w:widowControl/>
        <w:spacing w:line="600" w:lineRule="exact"/>
        <w:ind w:firstLine="620" w:firstLineChars="200"/>
        <w:jc w:val="left"/>
        <w:rPr>
          <w:rFonts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七、大额度资金运作</w:t>
      </w:r>
    </w:p>
    <w:p>
      <w:pPr>
        <w:widowControl/>
        <w:spacing w:line="60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年度对外捐赠情况：无</w:t>
      </w:r>
    </w:p>
    <w:p>
      <w:pPr>
        <w:widowControl/>
        <w:spacing w:line="600" w:lineRule="exact"/>
        <w:ind w:firstLine="620" w:firstLineChars="200"/>
        <w:jc w:val="left"/>
        <w:rPr>
          <w:rFonts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八、职工权益维护</w:t>
      </w:r>
    </w:p>
    <w:p>
      <w:pPr>
        <w:widowControl/>
        <w:spacing w:line="58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（一）维护职工权益典型案例：无</w:t>
      </w:r>
    </w:p>
    <w:p>
      <w:pPr>
        <w:widowControl/>
        <w:spacing w:line="580" w:lineRule="exact"/>
        <w:ind w:firstLine="622" w:firstLineChars="200"/>
        <w:jc w:val="left"/>
        <w:rPr>
          <w:rFonts w:ascii="楷体_GB2312" w:hAnsi="楷体_GB2312" w:eastAsia="楷体_GB2312" w:cs="楷体_GB2312"/>
          <w:b/>
          <w:bCs/>
          <w:color w:val="000000"/>
          <w:kern w:val="0"/>
          <w:sz w:val="31"/>
          <w:szCs w:val="31"/>
          <w:lang w:bidi="ar"/>
        </w:rPr>
      </w:pPr>
      <w:r>
        <w:rPr>
          <w:rFonts w:hint="eastAsia" w:ascii="楷体_GB2312" w:hAnsi="楷体_GB2312" w:eastAsia="楷体_GB2312" w:cs="楷体_GB2312"/>
          <w:b/>
          <w:bCs/>
          <w:color w:val="000000"/>
          <w:kern w:val="0"/>
          <w:sz w:val="31"/>
          <w:szCs w:val="31"/>
          <w:lang w:bidi="ar"/>
        </w:rPr>
        <w:t>（二）全年工会工作情况概述：</w:t>
      </w:r>
    </w:p>
    <w:p>
      <w:pPr>
        <w:ind w:firstLine="640" w:firstLineChars="200"/>
        <w:rPr>
          <w:rFonts w:ascii="仿宋_GB2312" w:hAnsi="仿宋_GB2312" w:eastAsia="仿宋_GB2312" w:cs="仿宋_GB2312"/>
          <w:sz w:val="32"/>
          <w:szCs w:val="32"/>
        </w:rPr>
      </w:pPr>
    </w:p>
    <w:sectPr>
      <w:pgSz w:w="11850" w:h="16783"/>
      <w:pgMar w:top="1440" w:right="1800" w:bottom="1440" w:left="1800" w:header="1924" w:footer="1621" w:gutter="0"/>
      <w:cols w:space="0" w:num="1"/>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Y3MDUwMzViYTI4NDMzNTM3ZTE3YmU3Y2E0MDcifQ=="/>
  </w:docVars>
  <w:rsids>
    <w:rsidRoot w:val="6F041EC0"/>
    <w:rsid w:val="001340FC"/>
    <w:rsid w:val="00AA5F2A"/>
    <w:rsid w:val="00B12DD8"/>
    <w:rsid w:val="00B4376C"/>
    <w:rsid w:val="00D65A62"/>
    <w:rsid w:val="00F2010C"/>
    <w:rsid w:val="016320D9"/>
    <w:rsid w:val="0A737761"/>
    <w:rsid w:val="0BE21212"/>
    <w:rsid w:val="100B0B70"/>
    <w:rsid w:val="12FE156B"/>
    <w:rsid w:val="16AE1553"/>
    <w:rsid w:val="19EC305D"/>
    <w:rsid w:val="26414D56"/>
    <w:rsid w:val="29414BE5"/>
    <w:rsid w:val="2A637EA4"/>
    <w:rsid w:val="2EFF6764"/>
    <w:rsid w:val="2F26736B"/>
    <w:rsid w:val="39F7070C"/>
    <w:rsid w:val="3F4D1A7B"/>
    <w:rsid w:val="42AA54C6"/>
    <w:rsid w:val="43AB48AD"/>
    <w:rsid w:val="448B6748"/>
    <w:rsid w:val="448F3BA9"/>
    <w:rsid w:val="46B57E27"/>
    <w:rsid w:val="4E1D20FF"/>
    <w:rsid w:val="4F8E53F2"/>
    <w:rsid w:val="50A153DF"/>
    <w:rsid w:val="52E7446A"/>
    <w:rsid w:val="57D70A4D"/>
    <w:rsid w:val="59080CD2"/>
    <w:rsid w:val="5B6548BC"/>
    <w:rsid w:val="5EAB3BC0"/>
    <w:rsid w:val="64CC6F02"/>
    <w:rsid w:val="6D7555C3"/>
    <w:rsid w:val="6F041EC0"/>
    <w:rsid w:val="73DC6C46"/>
    <w:rsid w:val="7AEE6A38"/>
    <w:rsid w:val="7C684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642</Words>
  <Characters>745</Characters>
  <Lines>5</Lines>
  <Paragraphs>1</Paragraphs>
  <TotalTime>17</TotalTime>
  <ScaleCrop>false</ScaleCrop>
  <LinksUpToDate>false</LinksUpToDate>
  <CharactersWithSpaces>746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2022-01-27T01:32:00Z</dcterms:created>
  <dc:creator>穆凯</dc:creator>
  <cp:lastModifiedBy>贺</cp:lastModifiedBy>
  <cp:lastPrinted>2022-01-27T08:24:00Z</cp:lastPrinted>
  <dcterms:modified xsi:type="dcterms:W3CDTF">2022-07-07T09:40:25Z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92CB28CC6D28442EBBE0B87D127DE3CA</vt:lpwstr>
  </property>
</Properties>
</file>