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山西晋煤太钢能源有限责任公司</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2021年度财务等重大信息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一、工商注册登记及企业基本情况</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名称：山西晋煤太钢能源有限责任公司</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注册资本：肆拾叁亿圆整</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类型：有限责任公司（国有控股）</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成立日期：2009年08月11日</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法定代表人：王江峰（备注：2021年3月调离工作岗位。因企业整合重组，公司由晋能控股集团划转至山西焦煤集团，山西焦煤集团委托西山煤电管理，因资产未划转，股东工商变更无法办理，法定代表人无法变更。）</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20" w:firstLineChars="200"/>
        <w:jc w:val="left"/>
        <w:textAlignment w:val="auto"/>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营业期限：2009年08月11日至2024年06月24日</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住所：山西省吕梁市临县车赶乡桃塔村</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经营范围：</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以自有资金对焦炭、煤化工、煤层气、电力企业的投资；矿产资源开采；煤炭开采（仅限分支机构）；煤炭销售。（依法须经批准的项目，经相关部门批准后方可开展经营活动）</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黑体" w:hAnsi="黑体" w:eastAsia="黑体" w:cs="黑体"/>
          <w:color w:val="000000"/>
          <w:kern w:val="0"/>
          <w:sz w:val="31"/>
          <w:szCs w:val="31"/>
          <w:lang w:val="en-US" w:eastAsia="zh-CN" w:bidi="ar"/>
        </w:rPr>
        <w:drawing>
          <wp:anchor distT="0" distB="0" distL="114300" distR="114300" simplePos="0" relativeHeight="251659264" behindDoc="0" locked="0" layoutInCell="1" allowOverlap="1">
            <wp:simplePos x="0" y="0"/>
            <wp:positionH relativeFrom="column">
              <wp:posOffset>127000</wp:posOffset>
            </wp:positionH>
            <wp:positionV relativeFrom="paragraph">
              <wp:posOffset>300990</wp:posOffset>
            </wp:positionV>
            <wp:extent cx="5095240" cy="3178175"/>
            <wp:effectExtent l="0" t="0" r="10160" b="3175"/>
            <wp:wrapNone/>
            <wp:docPr id="1" name="图片 1" descr="6b850628bea312b9437954effa2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b850628bea312b9437954effa27681"/>
                    <pic:cNvPicPr>
                      <a:picLocks noChangeAspect="1"/>
                    </pic:cNvPicPr>
                  </pic:nvPicPr>
                  <pic:blipFill>
                    <a:blip r:embed="rId4"/>
                    <a:stretch>
                      <a:fillRect/>
                    </a:stretch>
                  </pic:blipFill>
                  <pic:spPr>
                    <a:xfrm>
                      <a:off x="0" y="0"/>
                      <a:ext cx="5095240" cy="3178175"/>
                    </a:xfrm>
                    <a:prstGeom prst="rect">
                      <a:avLst/>
                    </a:prstGeom>
                  </pic:spPr>
                </pic:pic>
              </a:graphicData>
            </a:graphic>
          </wp:anchor>
        </w:drawing>
      </w:r>
      <w:r>
        <w:rPr>
          <w:rFonts w:hint="eastAsia" w:ascii="黑体" w:hAnsi="黑体" w:eastAsia="黑体" w:cs="黑体"/>
          <w:color w:val="000000"/>
          <w:kern w:val="0"/>
          <w:sz w:val="31"/>
          <w:szCs w:val="31"/>
          <w:lang w:val="en-US" w:eastAsia="zh-CN" w:bidi="ar"/>
        </w:rPr>
        <w:t>二、公司治理及管理架构、重要人事变动</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20" w:firstLineChars="200"/>
        <w:jc w:val="left"/>
        <w:textAlignment w:val="auto"/>
        <w:rPr>
          <w:rFonts w:hint="eastAsia" w:ascii="黑体" w:hAnsi="黑体" w:eastAsia="黑体" w:cs="黑体"/>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ind w:firstLine="620" w:firstLineChars="200"/>
        <w:jc w:val="left"/>
        <w:textAlignment w:val="auto"/>
        <w:rPr>
          <w:rFonts w:hint="eastAsia" w:ascii="黑体" w:hAnsi="黑体" w:eastAsia="黑体" w:cs="黑体"/>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ind w:firstLine="620" w:firstLineChars="200"/>
        <w:jc w:val="left"/>
        <w:textAlignment w:val="auto"/>
        <w:rPr>
          <w:rFonts w:hint="eastAsia" w:ascii="黑体" w:hAnsi="黑体" w:eastAsia="黑体" w:cs="黑体"/>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ind w:firstLine="620" w:firstLineChars="200"/>
        <w:jc w:val="left"/>
        <w:textAlignment w:val="auto"/>
        <w:rPr>
          <w:rFonts w:hint="eastAsia" w:ascii="黑体" w:hAnsi="黑体" w:eastAsia="黑体" w:cs="黑体"/>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ind w:firstLine="620" w:firstLineChars="200"/>
        <w:jc w:val="left"/>
        <w:textAlignment w:val="auto"/>
        <w:rPr>
          <w:rFonts w:hint="eastAsia" w:ascii="黑体" w:hAnsi="黑体" w:eastAsia="黑体" w:cs="黑体"/>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ind w:firstLine="620" w:firstLineChars="200"/>
        <w:jc w:val="left"/>
        <w:textAlignment w:val="auto"/>
        <w:rPr>
          <w:rFonts w:hint="eastAsia" w:ascii="黑体" w:hAnsi="黑体" w:eastAsia="黑体" w:cs="黑体"/>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ind w:firstLine="620" w:firstLineChars="200"/>
        <w:jc w:val="left"/>
        <w:textAlignment w:val="auto"/>
        <w:rPr>
          <w:rFonts w:hint="eastAsia" w:ascii="黑体" w:hAnsi="黑体" w:eastAsia="黑体" w:cs="黑体"/>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ind w:firstLine="620" w:firstLineChars="200"/>
        <w:jc w:val="left"/>
        <w:textAlignment w:val="auto"/>
        <w:rPr>
          <w:rFonts w:hint="eastAsia" w:ascii="黑体" w:hAnsi="黑体" w:eastAsia="黑体" w:cs="黑体"/>
          <w:color w:val="000000"/>
          <w:kern w:val="0"/>
          <w:sz w:val="31"/>
          <w:szCs w:val="31"/>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（一）经晋能控股集团有限公司党委常委会2021年3月17日研究决定：王江峰同志任晋能控股煤业集团有限公司潞安煤炭事业部副总经理，潞安新疆煤化工（集团）有限公司党委副书记、董事、董事长，免去现职。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620" w:firstLineChars="200"/>
        <w:jc w:val="left"/>
        <w:textAlignment w:val="auto"/>
        <w:rPr>
          <w:rFonts w:hint="eastAsia" w:ascii="黑体" w:hAnsi="黑体" w:eastAsia="黑体" w:cs="黑体"/>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（二）西山煤电（集团）有限责任公司组织部2021年5月8日下发文件，李宪任同志暂代理山西晋煤太钢能源有限责任公司董事长、总经理职务。</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20" w:firstLineChars="200"/>
        <w:jc w:val="left"/>
        <w:textAlignment w:val="auto"/>
        <w:rPr>
          <w:rFonts w:hint="eastAsia" w:ascii="黑体" w:hAnsi="黑体" w:eastAsia="黑体" w:cs="黑体"/>
          <w:color w:val="000000"/>
          <w:kern w:val="0"/>
          <w:sz w:val="31"/>
          <w:szCs w:val="31"/>
          <w:lang w:val="en-US" w:eastAsia="zh-CN" w:bidi="ar"/>
        </w:rPr>
      </w:pPr>
      <w:r>
        <w:rPr>
          <w:rFonts w:hint="eastAsia" w:ascii="黑体" w:hAnsi="黑体" w:eastAsia="黑体" w:cs="黑体"/>
          <w:color w:val="000000"/>
          <w:kern w:val="0"/>
          <w:sz w:val="31"/>
          <w:szCs w:val="31"/>
          <w:lang w:val="en-US" w:eastAsia="zh-CN" w:bidi="ar"/>
        </w:rPr>
        <w:t>三、企业主要财务状况和经营成果、国有资本保值增值情况</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22" w:firstLineChars="200"/>
        <w:jc w:val="left"/>
        <w:textAlignment w:val="auto"/>
        <w:rPr>
          <w:rFonts w:hint="eastAsia" w:ascii="楷体_GB2312" w:hAnsi="楷体_GB2312" w:eastAsia="楷体_GB2312" w:cs="楷体_GB2312"/>
          <w:b/>
          <w:bCs/>
          <w:color w:val="000000"/>
          <w:kern w:val="0"/>
          <w:sz w:val="31"/>
          <w:szCs w:val="31"/>
          <w:lang w:val="en-US" w:eastAsia="zh-CN" w:bidi="ar"/>
        </w:rPr>
      </w:pPr>
      <w:r>
        <w:rPr>
          <w:rFonts w:hint="eastAsia" w:ascii="楷体_GB2312" w:hAnsi="楷体_GB2312" w:eastAsia="楷体_GB2312" w:cs="楷体_GB2312"/>
          <w:b/>
          <w:bCs/>
          <w:color w:val="000000"/>
          <w:kern w:val="0"/>
          <w:sz w:val="31"/>
          <w:szCs w:val="31"/>
          <w:lang w:val="en-US" w:eastAsia="zh-CN" w:bidi="ar"/>
        </w:rPr>
        <w:t>（一）财务状况基本数据</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20" w:firstLineChars="200"/>
        <w:jc w:val="both"/>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资产期末余额1022099万元，负债期末余额720110万元，所有者权益期末余额301988万元，固定资产净值期末余额1160万元。</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22" w:firstLineChars="200"/>
        <w:jc w:val="left"/>
        <w:textAlignment w:val="auto"/>
        <w:rPr>
          <w:rFonts w:hint="eastAsia" w:ascii="楷体_GB2312" w:hAnsi="楷体_GB2312" w:eastAsia="楷体_GB2312" w:cs="楷体_GB2312"/>
          <w:b/>
          <w:bCs/>
          <w:color w:val="000000"/>
          <w:kern w:val="0"/>
          <w:sz w:val="31"/>
          <w:szCs w:val="31"/>
          <w:lang w:val="en-US" w:eastAsia="zh-CN" w:bidi="ar"/>
        </w:rPr>
      </w:pPr>
      <w:r>
        <w:rPr>
          <w:rFonts w:hint="eastAsia" w:ascii="楷体_GB2312" w:hAnsi="楷体_GB2312" w:eastAsia="楷体_GB2312" w:cs="楷体_GB2312"/>
          <w:b/>
          <w:bCs/>
          <w:color w:val="000000"/>
          <w:kern w:val="0"/>
          <w:sz w:val="31"/>
          <w:szCs w:val="31"/>
          <w:lang w:val="en-US" w:eastAsia="zh-CN" w:bidi="ar"/>
        </w:rPr>
        <w:t>（二）经营成果基本数据</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2021年，实现营业收入0万元，利润总额-3949万元。</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22" w:firstLineChars="200"/>
        <w:jc w:val="left"/>
        <w:textAlignment w:val="auto"/>
        <w:rPr>
          <w:rFonts w:hint="eastAsia" w:ascii="楷体_GB2312" w:hAnsi="楷体_GB2312" w:eastAsia="楷体_GB2312" w:cs="楷体_GB2312"/>
          <w:b/>
          <w:bCs/>
          <w:color w:val="000000"/>
          <w:kern w:val="0"/>
          <w:sz w:val="31"/>
          <w:szCs w:val="31"/>
          <w:lang w:val="en-US" w:eastAsia="zh-CN" w:bidi="ar"/>
        </w:rPr>
      </w:pPr>
      <w:r>
        <w:rPr>
          <w:rFonts w:hint="eastAsia" w:ascii="楷体_GB2312" w:hAnsi="楷体_GB2312" w:eastAsia="楷体_GB2312" w:cs="楷体_GB2312"/>
          <w:b/>
          <w:bCs/>
          <w:color w:val="000000"/>
          <w:kern w:val="0"/>
          <w:sz w:val="31"/>
          <w:szCs w:val="31"/>
          <w:lang w:val="en-US" w:eastAsia="zh-CN" w:bidi="ar"/>
        </w:rPr>
        <w:t>（三）国有资本保值增值</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2021年国有资本保值增值率98.71</w:t>
      </w:r>
      <w:bookmarkStart w:id="0" w:name="_GoBack"/>
      <w:bookmarkEnd w:id="0"/>
      <w:r>
        <w:rPr>
          <w:rFonts w:hint="eastAsia" w:ascii="仿宋_GB2312" w:hAnsi="宋体" w:eastAsia="仿宋_GB2312" w:cs="仿宋_GB2312"/>
          <w:color w:val="000000"/>
          <w:kern w:val="0"/>
          <w:sz w:val="31"/>
          <w:szCs w:val="3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黑体" w:hAnsi="黑体" w:eastAsia="黑体" w:cs="黑体"/>
          <w:color w:val="000000"/>
          <w:kern w:val="0"/>
          <w:sz w:val="31"/>
          <w:szCs w:val="31"/>
          <w:lang w:val="en-US" w:eastAsia="zh-CN" w:bidi="ar"/>
        </w:rPr>
        <w:t>四、企业主要产品产量完成情况</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20" w:firstLineChars="200"/>
        <w:jc w:val="both"/>
        <w:textAlignment w:val="auto"/>
        <w:rPr>
          <w:rFonts w:hint="default"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煤炭产业：</w:t>
      </w:r>
      <w:r>
        <w:rPr>
          <w:rFonts w:hint="eastAsia" w:ascii="仿宋_GB2312" w:hAnsi="宋体" w:eastAsia="仿宋_GB2312" w:cs="仿宋_GB2312"/>
          <w:color w:val="000000"/>
          <w:kern w:val="0"/>
          <w:sz w:val="31"/>
          <w:szCs w:val="31"/>
          <w:lang w:val="en-US" w:eastAsia="zh-CN" w:bidi="ar"/>
        </w:rPr>
        <w:t>2021年全年，原煤销售222288.8吨，肥精煤销售13651.84吨。</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20" w:firstLineChars="200"/>
        <w:jc w:val="both"/>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电力：无</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20" w:firstLineChars="200"/>
        <w:jc w:val="both"/>
        <w:textAlignment w:val="auto"/>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产品：无</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20" w:firstLineChars="200"/>
        <w:jc w:val="left"/>
        <w:textAlignment w:val="auto"/>
        <w:rPr>
          <w:rFonts w:hint="eastAsia" w:ascii="黑体" w:hAnsi="黑体" w:eastAsia="黑体" w:cs="黑体"/>
          <w:color w:val="000000"/>
          <w:kern w:val="0"/>
          <w:sz w:val="31"/>
          <w:szCs w:val="31"/>
          <w:lang w:val="en-US" w:eastAsia="zh-CN" w:bidi="ar"/>
        </w:rPr>
      </w:pPr>
      <w:r>
        <w:rPr>
          <w:rFonts w:hint="eastAsia" w:ascii="黑体" w:hAnsi="黑体" w:eastAsia="黑体" w:cs="黑体"/>
          <w:color w:val="000000"/>
          <w:kern w:val="0"/>
          <w:sz w:val="31"/>
          <w:szCs w:val="31"/>
          <w:lang w:val="en-US" w:eastAsia="zh-CN" w:bidi="ar"/>
        </w:rPr>
        <w:t>五、企业重大改制重组结果</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20" w:firstLineChars="200"/>
        <w:jc w:val="left"/>
        <w:textAlignment w:val="auto"/>
        <w:rPr>
          <w:rFonts w:hint="eastAsia" w:ascii="黑体" w:hAnsi="黑体" w:eastAsia="黑体" w:cs="黑体"/>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2021年，按照山西省政府《关于省属煤炭企业整合重组有关事宜的批复》（晋政函〔2020〕133号）文件精神，省国资运营公司以晋国资运营函〔2021〕100号将原晋能控股集团所属山西晋煤太钢能源有限责任公司划转给山西焦煤集团，山西焦煤集团委托西山煤电进行管理。</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20" w:firstLineChars="200"/>
        <w:jc w:val="left"/>
        <w:textAlignment w:val="auto"/>
        <w:rPr>
          <w:rFonts w:hint="eastAsia" w:ascii="黑体" w:hAnsi="黑体" w:eastAsia="黑体" w:cs="黑体"/>
          <w:color w:val="000000"/>
          <w:kern w:val="0"/>
          <w:sz w:val="31"/>
          <w:szCs w:val="31"/>
          <w:lang w:val="en-US" w:eastAsia="zh-CN" w:bidi="ar"/>
        </w:rPr>
      </w:pPr>
      <w:r>
        <w:rPr>
          <w:rFonts w:hint="eastAsia" w:ascii="黑体" w:hAnsi="黑体" w:eastAsia="黑体" w:cs="黑体"/>
          <w:color w:val="000000"/>
          <w:kern w:val="0"/>
          <w:sz w:val="31"/>
          <w:szCs w:val="31"/>
          <w:lang w:val="en-US" w:eastAsia="zh-CN" w:bidi="ar"/>
        </w:rPr>
        <w:t>六、企业履行社会责任情况</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22" w:firstLineChars="200"/>
        <w:jc w:val="left"/>
        <w:textAlignment w:val="auto"/>
        <w:rPr>
          <w:rFonts w:hint="eastAsia" w:ascii="楷体_GB2312" w:hAnsi="楷体_GB2312" w:eastAsia="楷体_GB2312" w:cs="楷体_GB2312"/>
          <w:b/>
          <w:bCs/>
          <w:color w:val="000000"/>
          <w:kern w:val="0"/>
          <w:sz w:val="31"/>
          <w:szCs w:val="31"/>
          <w:lang w:val="en-US" w:eastAsia="zh-CN" w:bidi="ar"/>
        </w:rPr>
      </w:pPr>
      <w:r>
        <w:rPr>
          <w:rFonts w:hint="eastAsia" w:ascii="楷体_GB2312" w:hAnsi="楷体_GB2312" w:eastAsia="楷体_GB2312" w:cs="楷体_GB2312"/>
          <w:b/>
          <w:bCs/>
          <w:color w:val="000000"/>
          <w:kern w:val="0"/>
          <w:sz w:val="31"/>
          <w:szCs w:val="31"/>
          <w:lang w:val="en-US" w:eastAsia="zh-CN" w:bidi="ar"/>
        </w:rPr>
        <w:t>（一）环境责任：无</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22" w:firstLineChars="200"/>
        <w:jc w:val="left"/>
        <w:textAlignment w:val="auto"/>
        <w:rPr>
          <w:rFonts w:hint="eastAsia" w:ascii="楷体_GB2312" w:hAnsi="楷体_GB2312" w:eastAsia="楷体_GB2312" w:cs="楷体_GB2312"/>
          <w:b/>
          <w:bCs/>
          <w:color w:val="000000"/>
          <w:kern w:val="0"/>
          <w:sz w:val="31"/>
          <w:szCs w:val="31"/>
          <w:lang w:val="en-US" w:eastAsia="zh-CN" w:bidi="ar"/>
        </w:rPr>
      </w:pPr>
      <w:r>
        <w:rPr>
          <w:rFonts w:hint="eastAsia" w:ascii="楷体_GB2312" w:hAnsi="楷体_GB2312" w:eastAsia="楷体_GB2312" w:cs="楷体_GB2312"/>
          <w:b/>
          <w:bCs/>
          <w:color w:val="000000"/>
          <w:kern w:val="0"/>
          <w:sz w:val="31"/>
          <w:szCs w:val="31"/>
          <w:lang w:val="en-US" w:eastAsia="zh-CN" w:bidi="ar"/>
        </w:rPr>
        <w:t>（二）企业责任：无</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20" w:firstLineChars="200"/>
        <w:jc w:val="left"/>
        <w:textAlignment w:val="auto"/>
        <w:rPr>
          <w:rFonts w:hint="eastAsia" w:ascii="黑体" w:hAnsi="黑体" w:eastAsia="黑体" w:cs="黑体"/>
          <w:color w:val="000000"/>
          <w:kern w:val="0"/>
          <w:sz w:val="31"/>
          <w:szCs w:val="31"/>
          <w:lang w:val="en-US" w:eastAsia="zh-CN" w:bidi="ar"/>
        </w:rPr>
      </w:pPr>
      <w:r>
        <w:rPr>
          <w:rFonts w:hint="eastAsia" w:ascii="黑体" w:hAnsi="黑体" w:eastAsia="黑体" w:cs="黑体"/>
          <w:color w:val="000000"/>
          <w:kern w:val="0"/>
          <w:sz w:val="31"/>
          <w:szCs w:val="31"/>
          <w:lang w:val="en-US" w:eastAsia="zh-CN" w:bidi="ar"/>
        </w:rPr>
        <w:t>七、大额度资金运作</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年度对外捐赠情况：无</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20" w:firstLineChars="200"/>
        <w:jc w:val="left"/>
        <w:textAlignment w:val="auto"/>
        <w:rPr>
          <w:rFonts w:hint="eastAsia" w:ascii="黑体" w:hAnsi="黑体" w:eastAsia="黑体" w:cs="黑体"/>
          <w:color w:val="000000"/>
          <w:kern w:val="0"/>
          <w:sz w:val="31"/>
          <w:szCs w:val="31"/>
          <w:lang w:val="en-US" w:eastAsia="zh-CN" w:bidi="ar"/>
        </w:rPr>
      </w:pPr>
      <w:r>
        <w:rPr>
          <w:rFonts w:hint="eastAsia" w:ascii="黑体" w:hAnsi="黑体" w:eastAsia="黑体" w:cs="黑体"/>
          <w:color w:val="000000"/>
          <w:kern w:val="0"/>
          <w:sz w:val="31"/>
          <w:szCs w:val="31"/>
          <w:lang w:val="en-US" w:eastAsia="zh-CN" w:bidi="ar"/>
        </w:rPr>
        <w:t>八、职工权益维护</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22" w:firstLineChars="200"/>
        <w:jc w:val="left"/>
        <w:textAlignment w:val="auto"/>
        <w:rPr>
          <w:rFonts w:hint="eastAsia" w:ascii="楷体_GB2312" w:hAnsi="楷体_GB2312" w:eastAsia="楷体_GB2312" w:cs="楷体_GB2312"/>
          <w:b/>
          <w:bCs/>
          <w:color w:val="000000"/>
          <w:kern w:val="0"/>
          <w:sz w:val="31"/>
          <w:szCs w:val="31"/>
          <w:lang w:val="en-US" w:eastAsia="zh-CN" w:bidi="ar"/>
        </w:rPr>
      </w:pPr>
      <w:r>
        <w:rPr>
          <w:rFonts w:hint="eastAsia" w:ascii="楷体_GB2312" w:hAnsi="楷体_GB2312" w:eastAsia="楷体_GB2312" w:cs="楷体_GB2312"/>
          <w:b/>
          <w:bCs/>
          <w:color w:val="000000"/>
          <w:kern w:val="0"/>
          <w:sz w:val="31"/>
          <w:szCs w:val="31"/>
          <w:lang w:val="en-US" w:eastAsia="zh-CN" w:bidi="ar"/>
        </w:rPr>
        <w:t>（一）维护职工权益典型案例：</w:t>
      </w:r>
    </w:p>
    <w:p>
      <w:pPr>
        <w:keepNext w:val="0"/>
        <w:keepLines w:val="0"/>
        <w:pageBreakBefore w:val="0"/>
        <w:widowControl w:val="0"/>
        <w:numPr>
          <w:ilvl w:val="0"/>
          <w:numId w:val="0"/>
        </w:numPr>
        <w:shd w:val="clear" w:color="auto" w:fill="auto"/>
        <w:kinsoku/>
        <w:wordWrap/>
        <w:overflowPunct/>
        <w:topLinePunct w:val="0"/>
        <w:autoSpaceDE w:val="0"/>
        <w:autoSpaceDN/>
        <w:bidi w:val="0"/>
        <w:adjustRightInd/>
        <w:snapToGrid/>
        <w:spacing w:beforeAutospacing="0" w:afterAutospacing="0" w:line="520" w:lineRule="exact"/>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积极开展困难职工摸排、爱心应急帮扶和大病医疗互助等精准帮扶工作。2021年3月9日和7月21日，120余名职工分别为2名患病职工组织爱心捐款活动，共计募集捐款3万余元，大病医疗报销7000余元，进一步增强公司干事创业的凝聚力和向心力。</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22" w:firstLineChars="200"/>
        <w:jc w:val="left"/>
        <w:textAlignment w:val="auto"/>
        <w:rPr>
          <w:rFonts w:hint="eastAsia" w:ascii="楷体_GB2312" w:hAnsi="楷体_GB2312" w:eastAsia="楷体_GB2312" w:cs="楷体_GB2312"/>
          <w:b/>
          <w:bCs/>
          <w:color w:val="000000"/>
          <w:kern w:val="0"/>
          <w:sz w:val="31"/>
          <w:szCs w:val="31"/>
          <w:lang w:val="en-US" w:eastAsia="zh-CN" w:bidi="ar"/>
        </w:rPr>
      </w:pPr>
      <w:r>
        <w:rPr>
          <w:rFonts w:hint="eastAsia" w:ascii="楷体_GB2312" w:hAnsi="楷体_GB2312" w:eastAsia="楷体_GB2312" w:cs="楷体_GB2312"/>
          <w:b/>
          <w:bCs/>
          <w:color w:val="000000"/>
          <w:kern w:val="0"/>
          <w:sz w:val="31"/>
          <w:szCs w:val="31"/>
          <w:lang w:val="en-US" w:eastAsia="zh-CN" w:bidi="ar"/>
        </w:rPr>
        <w:t>（二）全年工会工作情况概述：</w:t>
      </w:r>
    </w:p>
    <w:p>
      <w:pPr>
        <w:keepNext w:val="0"/>
        <w:keepLines w:val="0"/>
        <w:pageBreakBefore w:val="0"/>
        <w:widowControl w:val="0"/>
        <w:numPr>
          <w:ilvl w:val="0"/>
          <w:numId w:val="0"/>
        </w:numPr>
        <w:shd w:val="clear" w:color="auto" w:fill="auto"/>
        <w:kinsoku/>
        <w:wordWrap/>
        <w:overflowPunct/>
        <w:topLinePunct w:val="0"/>
        <w:autoSpaceDE w:val="0"/>
        <w:autoSpaceDN/>
        <w:bidi w:val="0"/>
        <w:adjustRightInd/>
        <w:snapToGrid/>
        <w:spacing w:beforeAutospacing="0" w:afterAutospacing="0" w:line="52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kern w:val="2"/>
          <w:sz w:val="32"/>
          <w:szCs w:val="32"/>
          <w:lang w:val="en-US" w:eastAsia="zh-CN" w:bidi="ar-SA"/>
        </w:rPr>
        <w:t>加强文化融入，强化思想引领。晋煤太钢公司</w:t>
      </w:r>
      <w:r>
        <w:rPr>
          <w:rFonts w:hint="eastAsia" w:ascii="仿宋" w:hAnsi="仿宋" w:eastAsia="仿宋" w:cs="仿宋"/>
          <w:sz w:val="32"/>
          <w:szCs w:val="32"/>
          <w:lang w:val="en-US" w:eastAsia="zh-CN"/>
        </w:rPr>
        <w:t>积极宣贯学习山西焦煤“7.29”“1.28”“7.30”会</w:t>
      </w:r>
      <w:r>
        <w:rPr>
          <w:rFonts w:hint="eastAsia" w:ascii="仿宋" w:hAnsi="仿宋" w:eastAsia="仿宋" w:cs="仿宋"/>
          <w:sz w:val="32"/>
          <w:szCs w:val="32"/>
          <w:highlight w:val="none"/>
          <w:lang w:val="en-US" w:eastAsia="zh-CN"/>
        </w:rPr>
        <w:t>议和西山煤电“三</w:t>
      </w:r>
      <w:r>
        <w:rPr>
          <w:rFonts w:hint="eastAsia" w:ascii="仿宋" w:hAnsi="仿宋" w:eastAsia="仿宋" w:cs="仿宋"/>
          <w:sz w:val="32"/>
          <w:szCs w:val="32"/>
          <w:lang w:val="en-US" w:eastAsia="zh-CN"/>
        </w:rPr>
        <w:t>会”重要会议和重要讲话精神，积极贯彻“以奋斗者为本、长期艰苦奋斗”的企业核心价值观，弘扬“团结、奉献、求实、进取”的企业精神，确保新焦煤文化在全公司上下思想上融入、感情上相通、认识上统一。</w:t>
      </w:r>
    </w:p>
    <w:p>
      <w:pPr>
        <w:keepNext w:val="0"/>
        <w:keepLines w:val="0"/>
        <w:pageBreakBefore w:val="0"/>
        <w:widowControl w:val="0"/>
        <w:numPr>
          <w:ilvl w:val="0"/>
          <w:numId w:val="0"/>
        </w:numPr>
        <w:shd w:val="clear" w:color="auto" w:fill="auto"/>
        <w:kinsoku/>
        <w:wordWrap/>
        <w:overflowPunct/>
        <w:topLinePunct w:val="0"/>
        <w:autoSpaceDE w:val="0"/>
        <w:autoSpaceDN/>
        <w:bidi w:val="0"/>
        <w:adjustRightInd/>
        <w:snapToGrid/>
        <w:spacing w:beforeAutospacing="0" w:afterAutospacing="0" w:line="520" w:lineRule="exact"/>
        <w:ind w:firstLine="640" w:firstLineChars="200"/>
        <w:jc w:val="both"/>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val="0"/>
          <w:bCs w:val="0"/>
          <w:kern w:val="2"/>
          <w:sz w:val="32"/>
          <w:szCs w:val="32"/>
          <w:lang w:val="en-US" w:eastAsia="zh-CN" w:bidi="ar-SA"/>
        </w:rPr>
        <w:t>2021年，公司通过建立多种有效的沟通对话机制，深入基层、深入一线，与职工面对面交流，详细了解大家的所思所想，消除大家思想疑虑和模糊认识，树牢“新焦煤是一家”的融合理念，引导干部职工保持艰苦创业、苦干实干的建设势头。秉持“发展企业、奉献社会、造福员工”的工作宗旨，先后推动职工作息时间调整、发放夏季防暑降温福利、制作职工工装和胸牌等民生工作，让大家真正感受到新焦煤的新变化新面貌。</w:t>
      </w:r>
    </w:p>
    <w:p>
      <w:pPr>
        <w:keepNext w:val="0"/>
        <w:keepLines w:val="0"/>
        <w:pageBreakBefore w:val="0"/>
        <w:widowControl w:val="0"/>
        <w:numPr>
          <w:ilvl w:val="0"/>
          <w:numId w:val="0"/>
        </w:numPr>
        <w:shd w:val="clear" w:color="auto" w:fill="auto"/>
        <w:kinsoku/>
        <w:wordWrap/>
        <w:overflowPunct/>
        <w:topLinePunct w:val="0"/>
        <w:autoSpaceDE w:val="0"/>
        <w:autoSpaceDN/>
        <w:bidi w:val="0"/>
        <w:adjustRightInd/>
        <w:snapToGrid/>
        <w:spacing w:beforeAutospacing="0" w:afterAutospacing="0" w:line="520" w:lineRule="exact"/>
        <w:ind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加强阵地建设，丰富文体活动。公司利用现有资源，先后建立完善了职工篮球场、阅览室、乒乓球室、台球室等职工文体娱乐场所。在重大节日期间，积极组织开展节日慰问和棋牌竞赛、投篮比赛、拔河赛等各类文体活动，通过丰富多彩的文化体育活动，满足职工群众对精神文化的需求，增进大家身心健康，在忙碌工作中切实感受到企业的关怀和温暖。</w:t>
      </w:r>
    </w:p>
    <w:p>
      <w:pPr>
        <w:keepNext w:val="0"/>
        <w:keepLines w:val="0"/>
        <w:pageBreakBefore w:val="0"/>
        <w:widowControl w:val="0"/>
        <w:numPr>
          <w:ilvl w:val="0"/>
          <w:numId w:val="0"/>
        </w:numPr>
        <w:shd w:val="clear" w:color="auto" w:fill="auto"/>
        <w:kinsoku/>
        <w:wordWrap/>
        <w:overflowPunct/>
        <w:topLinePunct w:val="0"/>
        <w:autoSpaceDE w:val="0"/>
        <w:autoSpaceDN/>
        <w:bidi w:val="0"/>
        <w:adjustRightInd/>
        <w:snapToGrid/>
        <w:spacing w:beforeAutospacing="0" w:afterAutospacing="0" w:line="52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kern w:val="2"/>
          <w:sz w:val="32"/>
          <w:szCs w:val="32"/>
          <w:lang w:val="en-US" w:eastAsia="zh-CN" w:bidi="ar-SA"/>
        </w:rPr>
        <w:t>加强民生改善，积极困难帮扶。公司围绕党史学习教育，扎实开展“我为群众办实事”活动，按照“以奋斗者为本、长期艰苦奋斗”和“不让奋斗者吃亏”的理念，建立清单、明确任务，努力改善办公生活环境，维护职工合法权益，定期组织健康体检，不断优化饮食营养搭配，提升广大职工的办公生活质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p>
    <w:sectPr>
      <w:footnotePr>
        <w:numFmt w:val="decimal"/>
      </w:footnotePr>
      <w:pgSz w:w="11850" w:h="16783"/>
      <w:pgMar w:top="1440" w:right="1800" w:bottom="1440" w:left="1800" w:header="1924" w:footer="1621" w:gutter="0"/>
      <w:cols w:space="0" w:num="1"/>
      <w:rtlGutter w:val="0"/>
      <w:docGrid w:type="lines" w:linePitch="3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xYTQ0YzI1MDliZmY5ZmM0NGI0YWI2ZTdiY2I2ZWEifQ=="/>
  </w:docVars>
  <w:rsids>
    <w:rsidRoot w:val="6F041EC0"/>
    <w:rsid w:val="001340FC"/>
    <w:rsid w:val="002C61F7"/>
    <w:rsid w:val="016320D9"/>
    <w:rsid w:val="01CA4337"/>
    <w:rsid w:val="01E855BD"/>
    <w:rsid w:val="02F810DE"/>
    <w:rsid w:val="03345AEF"/>
    <w:rsid w:val="04BA64C7"/>
    <w:rsid w:val="05C87B03"/>
    <w:rsid w:val="060C2D53"/>
    <w:rsid w:val="06DE4F13"/>
    <w:rsid w:val="07886409"/>
    <w:rsid w:val="0A690774"/>
    <w:rsid w:val="0B6815BF"/>
    <w:rsid w:val="0BE21212"/>
    <w:rsid w:val="0C9561D3"/>
    <w:rsid w:val="0F56503F"/>
    <w:rsid w:val="100B0B70"/>
    <w:rsid w:val="11335637"/>
    <w:rsid w:val="12C92791"/>
    <w:rsid w:val="12FE156B"/>
    <w:rsid w:val="13745430"/>
    <w:rsid w:val="16AE1553"/>
    <w:rsid w:val="170C114A"/>
    <w:rsid w:val="18697B91"/>
    <w:rsid w:val="192F2B88"/>
    <w:rsid w:val="19EC305D"/>
    <w:rsid w:val="1ACD2659"/>
    <w:rsid w:val="1BEF2AA3"/>
    <w:rsid w:val="1C00080C"/>
    <w:rsid w:val="231D1CA3"/>
    <w:rsid w:val="23675615"/>
    <w:rsid w:val="26414D56"/>
    <w:rsid w:val="26B70912"/>
    <w:rsid w:val="2786250D"/>
    <w:rsid w:val="27914A0E"/>
    <w:rsid w:val="29414BE5"/>
    <w:rsid w:val="2A637EA4"/>
    <w:rsid w:val="2AF3471B"/>
    <w:rsid w:val="2B8A6344"/>
    <w:rsid w:val="2C923702"/>
    <w:rsid w:val="2CA43435"/>
    <w:rsid w:val="2DA424D6"/>
    <w:rsid w:val="2EFF6764"/>
    <w:rsid w:val="2F26736B"/>
    <w:rsid w:val="2F996B56"/>
    <w:rsid w:val="3251196A"/>
    <w:rsid w:val="32631886"/>
    <w:rsid w:val="32A41A99"/>
    <w:rsid w:val="33274478"/>
    <w:rsid w:val="377F4883"/>
    <w:rsid w:val="381A5408"/>
    <w:rsid w:val="39F7070C"/>
    <w:rsid w:val="3B3E362E"/>
    <w:rsid w:val="3C81109D"/>
    <w:rsid w:val="3D0C4E0B"/>
    <w:rsid w:val="3F4D1A7B"/>
    <w:rsid w:val="4070745F"/>
    <w:rsid w:val="40F167F2"/>
    <w:rsid w:val="42AA54C6"/>
    <w:rsid w:val="433B01F8"/>
    <w:rsid w:val="43AB48AD"/>
    <w:rsid w:val="448B6748"/>
    <w:rsid w:val="448F3BA9"/>
    <w:rsid w:val="46B57E27"/>
    <w:rsid w:val="490177EE"/>
    <w:rsid w:val="49A07007"/>
    <w:rsid w:val="49D62A28"/>
    <w:rsid w:val="4A7364C9"/>
    <w:rsid w:val="4E1D20FF"/>
    <w:rsid w:val="4E3E6DEE"/>
    <w:rsid w:val="4F8E53F2"/>
    <w:rsid w:val="50760AC1"/>
    <w:rsid w:val="50A153DF"/>
    <w:rsid w:val="52E7446A"/>
    <w:rsid w:val="530D1494"/>
    <w:rsid w:val="55D3606E"/>
    <w:rsid w:val="56647C24"/>
    <w:rsid w:val="56D46542"/>
    <w:rsid w:val="57AD69F0"/>
    <w:rsid w:val="57D70A4D"/>
    <w:rsid w:val="58C85C32"/>
    <w:rsid w:val="59080CD2"/>
    <w:rsid w:val="594554D5"/>
    <w:rsid w:val="5A3B68D8"/>
    <w:rsid w:val="5ACE32A8"/>
    <w:rsid w:val="5B3137F6"/>
    <w:rsid w:val="5B6548BC"/>
    <w:rsid w:val="5EAB3BC0"/>
    <w:rsid w:val="64CC6F02"/>
    <w:rsid w:val="657809E0"/>
    <w:rsid w:val="65913850"/>
    <w:rsid w:val="65CD3517"/>
    <w:rsid w:val="6736645D"/>
    <w:rsid w:val="6796514D"/>
    <w:rsid w:val="69DB32EB"/>
    <w:rsid w:val="6BAF4A30"/>
    <w:rsid w:val="6D6D4BA2"/>
    <w:rsid w:val="6D7555C3"/>
    <w:rsid w:val="6E565636"/>
    <w:rsid w:val="6EF530A1"/>
    <w:rsid w:val="6F041EC0"/>
    <w:rsid w:val="72312642"/>
    <w:rsid w:val="72AF6E9E"/>
    <w:rsid w:val="731D16EF"/>
    <w:rsid w:val="732D4BB8"/>
    <w:rsid w:val="739345F2"/>
    <w:rsid w:val="73DC6C46"/>
    <w:rsid w:val="75C8506C"/>
    <w:rsid w:val="76131CD7"/>
    <w:rsid w:val="79077C59"/>
    <w:rsid w:val="7AEE6A38"/>
    <w:rsid w:val="7B98103C"/>
    <w:rsid w:val="7C684D0B"/>
    <w:rsid w:val="7DA41F1A"/>
    <w:rsid w:val="7DFB1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1610</Words>
  <Characters>1722</Characters>
  <Lines>0</Lines>
  <Paragraphs>0</Paragraphs>
  <TotalTime>16</TotalTime>
  <ScaleCrop>false</ScaleCrop>
  <LinksUpToDate>false</LinksUpToDate>
  <CharactersWithSpaces>1723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2022-01-27T01:32:00Z</dcterms:created>
  <dc:creator>穆凯</dc:creator>
  <cp:lastModifiedBy>乔</cp:lastModifiedBy>
  <cp:lastPrinted>2022-01-27T08:24:00Z</cp:lastPrinted>
  <dcterms:modified xsi:type="dcterms:W3CDTF">2022-07-07T10:40:51Z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92CB28CC6D28442EBBE0B87D127DE3CA</vt:lpwstr>
  </property>
</Properties>
</file>