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atLeast"/>
        <w:jc w:val="center"/>
        <w:rPr>
          <w:rFonts w:hint="default" w:ascii="Tahoma" w:hAnsi="Tahoma" w:eastAsia="Tahoma" w:cs="Tahoma"/>
          <w:color w:val="000000"/>
          <w:sz w:val="36"/>
          <w:szCs w:val="36"/>
        </w:rPr>
      </w:pPr>
      <w:r>
        <w:rPr>
          <w:rFonts w:hint="default" w:ascii="Tahoma" w:hAnsi="Tahoma" w:eastAsia="Tahoma" w:cs="Tahoma"/>
          <w:color w:val="000000"/>
          <w:sz w:val="36"/>
          <w:szCs w:val="36"/>
        </w:rPr>
        <w:t>山西</w:t>
      </w:r>
      <w:r>
        <w:rPr>
          <w:rFonts w:ascii="Tahoma" w:hAnsi="Tahoma" w:cs="Tahoma"/>
          <w:color w:val="000000"/>
          <w:sz w:val="36"/>
          <w:szCs w:val="36"/>
        </w:rPr>
        <w:t>煤炭运销集团能源投资开发</w:t>
      </w:r>
      <w:r>
        <w:rPr>
          <w:rFonts w:hint="default" w:ascii="Tahoma" w:hAnsi="Tahoma" w:eastAsia="Tahoma" w:cs="Tahoma"/>
          <w:color w:val="000000"/>
          <w:sz w:val="36"/>
          <w:szCs w:val="36"/>
        </w:rPr>
        <w:t>有限公司</w:t>
      </w:r>
    </w:p>
    <w:p>
      <w:pPr>
        <w:pStyle w:val="2"/>
        <w:widowControl/>
        <w:spacing w:beforeAutospacing="0" w:afterAutospacing="0" w:line="600" w:lineRule="atLeast"/>
        <w:jc w:val="center"/>
        <w:rPr>
          <w:rFonts w:hint="default" w:ascii="Tahoma" w:hAnsi="Tahoma" w:eastAsia="Tahoma" w:cs="Tahoma"/>
          <w:color w:val="000000"/>
          <w:sz w:val="36"/>
          <w:szCs w:val="36"/>
        </w:rPr>
      </w:pPr>
      <w:r>
        <w:rPr>
          <w:rFonts w:hint="default" w:ascii="Tahoma" w:hAnsi="Tahoma" w:eastAsia="Tahoma" w:cs="Tahoma"/>
          <w:color w:val="000000"/>
          <w:sz w:val="36"/>
          <w:szCs w:val="36"/>
        </w:rPr>
        <w:t>2021年度财务等重大信息公开</w:t>
      </w:r>
    </w:p>
    <w:p>
      <w:pPr>
        <w:pStyle w:val="5"/>
        <w:widowControl/>
        <w:spacing w:before="300" w:beforeAutospacing="0" w:afterAutospacing="0" w:line="540" w:lineRule="atLeast"/>
        <w:jc w:val="both"/>
        <w:rPr>
          <w:rStyle w:val="9"/>
          <w:rFonts w:ascii="宋体" w:hAnsi="宋体" w:eastAsia="宋体" w:cs="宋体"/>
          <w:color w:val="000000"/>
        </w:rPr>
      </w:pP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一、企业基本信息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</w:rPr>
        <w:t>　</w:t>
      </w:r>
      <w:r>
        <w:rPr>
          <w:rFonts w:hint="eastAsia" w:ascii="楷体" w:hAnsi="楷体" w:eastAsia="楷体"/>
          <w:color w:val="000000"/>
          <w:sz w:val="30"/>
          <w:szCs w:val="30"/>
        </w:rPr>
        <w:t>　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1.中文名称及简称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山西煤炭运销集团能源投资开发有限公司（简称：能源投资公司）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2.外文名称及缩写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Shanxi Coal Transport and Marketing Group Energy Investment and Development Co., Ltd.（Energy Investment Company）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3.法定代表人  王国彪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4.股东名称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山西煤炭运销集团有限公司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山西能源产业集团有限责任公司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山西瑞盈投资管理有限公司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山西昌通能源股份有限公司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太原市智拓投资顾问有限公司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5.注册地址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古交市金牛摩尔商业中心6/9/10/11层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6.经营范围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以自有资金对矿业、煤业项目的投资；矿山设备、机械设备、电子产品的销售；原煤、精煤及副产品销售。（依法须经批准的项目，经相关部门批准后方可开展经营活动）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7.办公地址及邮编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古交市金牛摩尔商业中心6/9/10/11层  030200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8.电子邮箱  nytzzhglb@jinnenggroup.cn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9.简介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山西煤炭运销集团能源投资开发有限公司于2009年4月批准成立，注册资本37000万元。公司共由5个股东出资组建，其中：山西煤炭运销集团有限公司占股比41%，山西能源产业集团有限责任公司占股比10%，山西瑞盈投资管理有限公司占股比26%，山西昌通能源股份有限公司占股比15%，太原市智拓投资顾问有限公司占股比8%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公司所属福昌、辽源、世纪金鑫、铂龙等4座煤矿，全部位于古交市。拥有井田面积12.9</w:t>
      </w:r>
      <w:r>
        <w:rPr>
          <w:rFonts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平方公里，资源保有储量</w:t>
      </w:r>
      <w:r>
        <w:rPr>
          <w:rFonts w:ascii="楷体" w:hAnsi="楷体" w:eastAsia="楷体" w:cs="楷体"/>
          <w:sz w:val="32"/>
          <w:szCs w:val="32"/>
        </w:rPr>
        <w:t>1.1266</w:t>
      </w:r>
      <w:r>
        <w:rPr>
          <w:rFonts w:hint="eastAsia" w:ascii="楷体" w:hAnsi="楷体" w:eastAsia="楷体" w:cs="楷体"/>
          <w:sz w:val="32"/>
          <w:szCs w:val="32"/>
        </w:rPr>
        <w:t>亿吨，可采储量</w:t>
      </w:r>
      <w:r>
        <w:rPr>
          <w:rFonts w:ascii="楷体" w:hAnsi="楷体" w:eastAsia="楷体" w:cs="楷体"/>
          <w:sz w:val="32"/>
          <w:szCs w:val="32"/>
        </w:rPr>
        <w:t>5353.4</w:t>
      </w:r>
      <w:r>
        <w:rPr>
          <w:rFonts w:hint="eastAsia" w:ascii="楷体" w:hAnsi="楷体" w:eastAsia="楷体" w:cs="楷体"/>
          <w:sz w:val="32"/>
          <w:szCs w:val="32"/>
        </w:rPr>
        <w:t>万吨，设计生产能力3</w:t>
      </w:r>
      <w:r>
        <w:rPr>
          <w:rFonts w:ascii="楷体" w:hAnsi="楷体" w:eastAsia="楷体" w:cs="楷体"/>
          <w:sz w:val="32"/>
          <w:szCs w:val="32"/>
        </w:rPr>
        <w:t>00</w:t>
      </w:r>
      <w:r>
        <w:rPr>
          <w:rFonts w:hint="eastAsia" w:ascii="楷体" w:hAnsi="楷体" w:eastAsia="楷体" w:cs="楷体"/>
          <w:sz w:val="32"/>
          <w:szCs w:val="32"/>
        </w:rPr>
        <w:t>万吨/年。</w:t>
      </w:r>
    </w:p>
    <w:p>
      <w:pPr>
        <w:pStyle w:val="5"/>
        <w:widowControl/>
        <w:spacing w:beforeAutospacing="0" w:afterAutospacing="0" w:line="600" w:lineRule="exact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二、公司治理及管理架构、重要人事变动、企业负责人薪酬水平。</w:t>
      </w: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组织架构图：</w:t>
      </w: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b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102235</wp:posOffset>
            </wp:positionV>
            <wp:extent cx="5486400" cy="3253740"/>
            <wp:effectExtent l="0" t="0" r="0" b="3810"/>
            <wp:wrapNone/>
            <wp:docPr id="3" name="图片 3" descr="C:\Users\Lenovo\AppData\Local\Temp\16521580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AppData\Local\Temp\165215809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98425</wp:posOffset>
            </wp:positionV>
            <wp:extent cx="5486400" cy="3302000"/>
            <wp:effectExtent l="0" t="0" r="0" b="0"/>
            <wp:wrapNone/>
            <wp:docPr id="2" name="图片 2" descr="C:\Users\Lenovo\AppData\Local\Temp\16504540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1650454092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left="643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四、董事、监事、高管人员的任职情况和年度薪酬情况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600" w:lineRule="exact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董事会成员任职情况：</w:t>
      </w:r>
    </w:p>
    <w:p>
      <w:pPr>
        <w:pStyle w:val="5"/>
        <w:widowControl/>
        <w:spacing w:beforeAutospacing="0" w:afterAutospacing="0" w:line="600" w:lineRule="exact"/>
        <w:jc w:val="both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5"/>
        <w:widowControl/>
        <w:numPr>
          <w:ilvl w:val="0"/>
          <w:numId w:val="2"/>
        </w:numPr>
        <w:spacing w:beforeAutospacing="0" w:afterAutospacing="0" w:line="600" w:lineRule="exact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董事会成员任职情况：</w:t>
      </w:r>
    </w:p>
    <w:tbl>
      <w:tblPr>
        <w:tblStyle w:val="7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59"/>
        <w:gridCol w:w="1267"/>
        <w:gridCol w:w="2578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3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257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职务及任职时间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近三年主要工作经历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王国彪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1971-10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董事、董事长（2019-6-20）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刘健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1964-07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董事（2016-7-12）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晋能集团有限公司基建部部长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孙世昌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1964-03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董事，总经理（2017-12-6）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晋能集团能源投资开发有限公司董事、总经理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张三货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1965-03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董事（ 2009-10-27）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张四货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1970-05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董事，副董事长（2016-7-12）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晋能集团能源投资开发有限公司董事、副董事长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张桃珍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1960-03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董事（2016-7-12）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晋能集团能源投资开发有限公司董事、财务部长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孙稳进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1962-05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董事（2009-10-27）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黄倩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1966-11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董事（20</w:t>
            </w:r>
            <w:r>
              <w:rPr>
                <w:rFonts w:ascii="宋体" w:hAnsi="宋体" w:eastAsia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晋能集团能源投资开发有限公司董事、财务副总经理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王坤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1981-11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董事（2016-7-12）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山西能源产业集团计划部部长</w:t>
            </w:r>
          </w:p>
        </w:tc>
      </w:tr>
    </w:tbl>
    <w:p>
      <w:pPr>
        <w:pStyle w:val="5"/>
        <w:widowControl/>
        <w:spacing w:beforeAutospacing="0" w:afterAutospacing="0"/>
        <w:ind w:left="642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（二）监事会成员任职情况：</w:t>
      </w:r>
    </w:p>
    <w:tbl>
      <w:tblPr>
        <w:tblStyle w:val="7"/>
        <w:tblpPr w:leftFromText="180" w:rightFromText="180" w:vertAnchor="text" w:horzAnchor="page" w:tblpXSpec="center" w:tblpY="183"/>
        <w:tblOverlap w:val="never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62"/>
        <w:gridCol w:w="1247"/>
        <w:gridCol w:w="2726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职务及任职时间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近三年主要工作经历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闫智勇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1962-09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监事（2019-7-12）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晋能集团能源投资开发有限公司审计部部长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杨志英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1971-10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监事、监事会主席（2016-7-12）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胡玉保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1962-05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监事（2016-7-12）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陈国栋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1968-07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监事（ 2009-10-27）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张永程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1976-08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监事（2016-7-12）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山西能源产业集团审计部部长</w:t>
            </w:r>
          </w:p>
        </w:tc>
      </w:tr>
    </w:tbl>
    <w:p>
      <w:pPr>
        <w:pStyle w:val="5"/>
        <w:widowControl/>
        <w:spacing w:beforeAutospacing="0" w:afterAutospacing="0"/>
        <w:ind w:left="642"/>
        <w:jc w:val="both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/>
        <w:ind w:left="642"/>
        <w:jc w:val="both"/>
        <w:rPr>
          <w:rFonts w:ascii="宋体" w:hAnsi="宋体" w:eastAsia="宋体" w:cs="宋体"/>
          <w:color w:val="000000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（三）党委委员任职情况：</w:t>
      </w:r>
    </w:p>
    <w:tbl>
      <w:tblPr>
        <w:tblStyle w:val="7"/>
        <w:tblpPr w:leftFromText="180" w:rightFromText="180" w:vertAnchor="text" w:horzAnchor="margin" w:tblpY="188"/>
        <w:tblOverlap w:val="never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45"/>
        <w:gridCol w:w="1245"/>
        <w:gridCol w:w="2715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职务及任职时间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近三年主要工作经历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王国彪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1971-10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党委委员、书记（2019-6-20）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晋能集团能源投资公司党委委员、书记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刘锦斌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1971-10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党委委员、副书记（2017-11-24）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晋能集团能源投资开发有限公司党委委员、副书记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吕平军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1969-04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党委委员（ 2014-2-25）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陈宝红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1969-10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党委委员（2018-7-24）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温赟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1972-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党委委员（2017-6-20） 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李谦善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1966-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党委委员（2017-6-20） 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白志光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1981-11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党委委员（2017-6-20） 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李全成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1970-06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党委委员（2018-7-24） 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晋能集团能源投资开发有限公司党委委员</w:t>
            </w:r>
          </w:p>
        </w:tc>
      </w:tr>
    </w:tbl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（四）经理层成员任职情况：</w:t>
      </w:r>
    </w:p>
    <w:tbl>
      <w:tblPr>
        <w:tblStyle w:val="7"/>
        <w:tblpPr w:leftFromText="180" w:rightFromText="180" w:vertAnchor="text" w:horzAnchor="page" w:tblpXSpec="center" w:tblpY="699"/>
        <w:tblOverlap w:val="never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35"/>
        <w:gridCol w:w="1245"/>
        <w:gridCol w:w="2655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职务及任职时间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近三年主要工作经历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陈宝红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1969-10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代理总经理（2021-3-17）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吕平军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1969-04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副总经理（ 2014-2-25）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黄倩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1966-11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副总经理（2010-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-</w:t>
            </w: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温赟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1972-01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副总经理（2017-9-1） 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白志光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1981-11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副总经理（2017-9-1） 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李全成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1970-06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总工程师（2017-9-1） 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晋能集团能源投资开发有限公司总工程师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张杰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1992-03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副总经理（2021-3-17）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北京庞耀基因科技服务有限公司董事长</w:t>
            </w:r>
          </w:p>
        </w:tc>
      </w:tr>
    </w:tbl>
    <w:p>
      <w:pPr>
        <w:pStyle w:val="5"/>
        <w:widowControl/>
        <w:spacing w:beforeAutospacing="0" w:afterAutospacing="0"/>
        <w:jc w:val="both"/>
        <w:rPr>
          <w:rFonts w:ascii="宋体" w:hAnsi="宋体" w:eastAsia="宋体" w:cs="宋体"/>
          <w:color w:val="000000"/>
        </w:rPr>
      </w:pP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（五）班子成员薪酬情况：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214"/>
        <w:gridCol w:w="2215"/>
        <w:gridCol w:w="2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应发工资</w:t>
            </w:r>
          </w:p>
        </w:tc>
        <w:tc>
          <w:tcPr>
            <w:tcW w:w="1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2021年年薪兑现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黄倩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196000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221237.2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417237.2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陈宝红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233844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271597.54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505441.54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孙世昌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222860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30461.87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253321.87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白志光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197264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221387.2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418651.2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李谦善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194066.51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222940.69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417007.2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张四货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192408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235544.9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427952.9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吕平军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210706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235640.9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446346.9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李全成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200799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221387.2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422186.2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刘锦斌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190371.4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224307.8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414679.2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王国彪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242773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277706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520479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158742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185169.33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343911.33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温赟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396633.65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51462.55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448096.2</w:t>
            </w:r>
          </w:p>
        </w:tc>
      </w:tr>
    </w:tbl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三、主要会计数据和财务指标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</w:rPr>
        <w:t>　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　（一）主要会计数据（截至20</w:t>
      </w:r>
      <w:r>
        <w:rPr>
          <w:rFonts w:ascii="楷体" w:hAnsi="楷体" w:eastAsia="楷体" w:cs="楷体"/>
          <w:color w:val="000000"/>
          <w:sz w:val="32"/>
          <w:szCs w:val="32"/>
        </w:rPr>
        <w:t>21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年12月末）：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　　</w:t>
      </w:r>
      <w:r>
        <w:rPr>
          <w:rFonts w:hint="eastAsia" w:ascii="楷体" w:hAnsi="楷体" w:eastAsia="楷体" w:cs="楷体"/>
          <w:kern w:val="2"/>
          <w:sz w:val="32"/>
          <w:szCs w:val="32"/>
        </w:rPr>
        <w:t>资产总额</w:t>
      </w:r>
      <w:bookmarkStart w:id="0" w:name="_Hlk101798114"/>
      <w:r>
        <w:rPr>
          <w:rFonts w:ascii="楷体" w:hAnsi="楷体" w:eastAsia="楷体" w:cs="楷体"/>
          <w:kern w:val="2"/>
          <w:sz w:val="32"/>
          <w:szCs w:val="32"/>
        </w:rPr>
        <w:t>597524.93</w:t>
      </w:r>
      <w:bookmarkEnd w:id="0"/>
      <w:r>
        <w:rPr>
          <w:rFonts w:hint="eastAsia" w:ascii="楷体" w:hAnsi="楷体" w:eastAsia="楷体" w:cs="楷体"/>
          <w:kern w:val="2"/>
          <w:sz w:val="32"/>
          <w:szCs w:val="32"/>
        </w:rPr>
        <w:t>万元，比年初增加</w:t>
      </w:r>
      <w:r>
        <w:rPr>
          <w:rFonts w:ascii="楷体" w:hAnsi="楷体" w:eastAsia="楷体" w:cs="楷体"/>
          <w:kern w:val="2"/>
          <w:sz w:val="32"/>
          <w:szCs w:val="32"/>
        </w:rPr>
        <w:t>29843.52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5.26</w:t>
      </w:r>
      <w:r>
        <w:rPr>
          <w:rFonts w:hint="eastAsia" w:ascii="楷体" w:hAnsi="楷体" w:eastAsia="楷体" w:cs="楷体"/>
          <w:kern w:val="2"/>
          <w:sz w:val="32"/>
          <w:szCs w:val="32"/>
        </w:rPr>
        <w:t>%，其中：</w:t>
      </w:r>
    </w:p>
    <w:p>
      <w:pPr>
        <w:pStyle w:val="5"/>
        <w:spacing w:beforeAutospacing="0" w:afterAutospacing="0"/>
        <w:jc w:val="both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存货</w:t>
      </w:r>
      <w:r>
        <w:rPr>
          <w:rFonts w:ascii="楷体" w:hAnsi="楷体" w:eastAsia="楷体" w:cs="楷体"/>
          <w:kern w:val="2"/>
          <w:sz w:val="32"/>
          <w:szCs w:val="32"/>
        </w:rPr>
        <w:t>13063.78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万元，比年初增加</w:t>
      </w:r>
      <w:r>
        <w:rPr>
          <w:rFonts w:ascii="楷体" w:hAnsi="楷体" w:eastAsia="楷体" w:cs="楷体"/>
          <w:kern w:val="2"/>
          <w:sz w:val="32"/>
          <w:szCs w:val="32"/>
        </w:rPr>
        <w:t>12602.77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2733.71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应收账款</w:t>
      </w:r>
      <w:r>
        <w:rPr>
          <w:rFonts w:ascii="楷体" w:hAnsi="楷体" w:eastAsia="楷体" w:cs="楷体"/>
          <w:kern w:val="2"/>
          <w:sz w:val="32"/>
          <w:szCs w:val="32"/>
        </w:rPr>
        <w:t>6037.4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万元，比年初减少</w:t>
      </w:r>
      <w:r>
        <w:rPr>
          <w:rFonts w:ascii="楷体" w:hAnsi="楷体" w:eastAsia="楷体" w:cs="楷体"/>
          <w:kern w:val="2"/>
          <w:sz w:val="32"/>
          <w:szCs w:val="32"/>
        </w:rPr>
        <w:t>3775.88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</w:t>
      </w:r>
      <w:bookmarkStart w:id="1" w:name="_Hlk101712966"/>
      <w:r>
        <w:rPr>
          <w:rFonts w:hint="eastAsia" w:ascii="楷体" w:hAnsi="楷体" w:eastAsia="楷体" w:cs="楷体"/>
          <w:kern w:val="2"/>
          <w:sz w:val="32"/>
          <w:szCs w:val="32"/>
        </w:rPr>
        <w:t>减幅</w:t>
      </w:r>
      <w:bookmarkEnd w:id="1"/>
      <w:r>
        <w:rPr>
          <w:rFonts w:ascii="楷体" w:hAnsi="楷体" w:eastAsia="楷体" w:cs="楷体"/>
          <w:kern w:val="2"/>
          <w:sz w:val="32"/>
          <w:szCs w:val="32"/>
        </w:rPr>
        <w:t>38.48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固定资产净额</w:t>
      </w:r>
      <w:r>
        <w:rPr>
          <w:rFonts w:ascii="楷体" w:hAnsi="楷体" w:eastAsia="楷体" w:cs="楷体"/>
          <w:kern w:val="2"/>
          <w:sz w:val="32"/>
          <w:szCs w:val="32"/>
        </w:rPr>
        <w:t>155194.33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万元，比年初减少</w:t>
      </w:r>
      <w:r>
        <w:rPr>
          <w:rFonts w:ascii="楷体" w:hAnsi="楷体" w:eastAsia="楷体" w:cs="楷体"/>
          <w:kern w:val="2"/>
          <w:sz w:val="32"/>
          <w:szCs w:val="32"/>
        </w:rPr>
        <w:t>7671.71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万元，减幅</w:t>
      </w:r>
      <w:r>
        <w:rPr>
          <w:rFonts w:ascii="楷体" w:hAnsi="楷体" w:eastAsia="楷体" w:cs="楷体"/>
          <w:kern w:val="2"/>
          <w:sz w:val="32"/>
          <w:szCs w:val="32"/>
        </w:rPr>
        <w:t>4.71</w:t>
      </w:r>
      <w:r>
        <w:rPr>
          <w:rFonts w:hint="eastAsia" w:ascii="楷体" w:hAnsi="楷体" w:eastAsia="楷体" w:cs="楷体"/>
          <w:kern w:val="2"/>
          <w:sz w:val="32"/>
          <w:szCs w:val="32"/>
        </w:rPr>
        <w:t>%。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负债总额</w:t>
      </w:r>
      <w:r>
        <w:rPr>
          <w:rFonts w:ascii="楷体" w:hAnsi="楷体" w:eastAsia="楷体" w:cs="楷体"/>
          <w:kern w:val="2"/>
          <w:sz w:val="32"/>
          <w:szCs w:val="32"/>
        </w:rPr>
        <w:t>560411.94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</w:t>
      </w:r>
      <w:bookmarkStart w:id="2" w:name="_Hlk101713146"/>
      <w:r>
        <w:rPr>
          <w:rFonts w:hint="eastAsia" w:ascii="楷体" w:hAnsi="楷体" w:eastAsia="楷体" w:cs="楷体"/>
          <w:kern w:val="2"/>
          <w:sz w:val="32"/>
          <w:szCs w:val="32"/>
        </w:rPr>
        <w:t>增加</w:t>
      </w:r>
      <w:bookmarkEnd w:id="2"/>
      <w:r>
        <w:rPr>
          <w:rFonts w:ascii="楷体" w:hAnsi="楷体" w:eastAsia="楷体" w:cs="楷体"/>
          <w:kern w:val="2"/>
          <w:sz w:val="32"/>
          <w:szCs w:val="32"/>
        </w:rPr>
        <w:t>26489.19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4.96</w:t>
      </w:r>
      <w:r>
        <w:rPr>
          <w:rFonts w:hint="eastAsia" w:ascii="楷体" w:hAnsi="楷体" w:eastAsia="楷体" w:cs="楷体"/>
          <w:kern w:val="2"/>
          <w:sz w:val="32"/>
          <w:szCs w:val="32"/>
        </w:rPr>
        <w:t>%，其中：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应付账款</w:t>
      </w:r>
      <w:r>
        <w:rPr>
          <w:rFonts w:ascii="楷体" w:hAnsi="楷体" w:eastAsia="楷体" w:cs="楷体"/>
          <w:kern w:val="2"/>
          <w:sz w:val="32"/>
          <w:szCs w:val="32"/>
        </w:rPr>
        <w:t>41328.08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万元，比年初减少</w:t>
      </w:r>
      <w:r>
        <w:rPr>
          <w:rFonts w:ascii="楷体" w:hAnsi="楷体" w:eastAsia="楷体" w:cs="楷体"/>
          <w:kern w:val="2"/>
          <w:sz w:val="32"/>
          <w:szCs w:val="32"/>
        </w:rPr>
        <w:t>1147.33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万元，减幅</w:t>
      </w:r>
      <w:r>
        <w:rPr>
          <w:rFonts w:ascii="楷体" w:hAnsi="楷体" w:eastAsia="楷体" w:cs="楷体"/>
          <w:kern w:val="2"/>
          <w:sz w:val="32"/>
          <w:szCs w:val="32"/>
        </w:rPr>
        <w:t>2.7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应交税费</w:t>
      </w:r>
      <w:r>
        <w:rPr>
          <w:rFonts w:ascii="楷体" w:hAnsi="楷体" w:eastAsia="楷体" w:cs="楷体"/>
          <w:kern w:val="2"/>
          <w:sz w:val="32"/>
          <w:szCs w:val="32"/>
        </w:rPr>
        <w:t>7785.61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万元，比年初增加</w:t>
      </w:r>
      <w:r>
        <w:rPr>
          <w:rFonts w:ascii="楷体" w:hAnsi="楷体" w:eastAsia="楷体" w:cs="楷体"/>
          <w:kern w:val="2"/>
          <w:sz w:val="32"/>
          <w:szCs w:val="32"/>
        </w:rPr>
        <w:t>5479.38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237.59</w:t>
      </w:r>
      <w:r>
        <w:rPr>
          <w:rFonts w:hint="eastAsia" w:ascii="楷体" w:hAnsi="楷体" w:eastAsia="楷体" w:cs="楷体"/>
          <w:kern w:val="2"/>
          <w:sz w:val="32"/>
          <w:szCs w:val="32"/>
        </w:rPr>
        <w:t>%。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所有者权益总额</w:t>
      </w:r>
      <w:r>
        <w:rPr>
          <w:rFonts w:ascii="楷体" w:hAnsi="楷体" w:eastAsia="楷体" w:cs="楷体"/>
          <w:kern w:val="2"/>
          <w:sz w:val="32"/>
          <w:szCs w:val="32"/>
        </w:rPr>
        <w:t>37113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万元，比年初增加</w:t>
      </w:r>
      <w:r>
        <w:rPr>
          <w:rFonts w:ascii="楷体" w:hAnsi="楷体" w:eastAsia="楷体" w:cs="楷体"/>
          <w:kern w:val="2"/>
          <w:sz w:val="32"/>
          <w:szCs w:val="32"/>
        </w:rPr>
        <w:t>3354.33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9.94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资产负债率</w:t>
      </w:r>
      <w:r>
        <w:rPr>
          <w:rFonts w:ascii="楷体" w:hAnsi="楷体" w:eastAsia="楷体" w:cs="楷体"/>
          <w:kern w:val="2"/>
          <w:sz w:val="32"/>
          <w:szCs w:val="32"/>
        </w:rPr>
        <w:t>93.79</w:t>
      </w:r>
      <w:r>
        <w:rPr>
          <w:rFonts w:hint="eastAsia" w:ascii="楷体" w:hAnsi="楷体" w:eastAsia="楷体" w:cs="楷体"/>
          <w:kern w:val="2"/>
          <w:sz w:val="32"/>
          <w:szCs w:val="32"/>
        </w:rPr>
        <w:t>%，比年初</w:t>
      </w:r>
      <w:r>
        <w:rPr>
          <w:rFonts w:ascii="楷体" w:hAnsi="楷体" w:eastAsia="楷体" w:cs="楷体"/>
          <w:kern w:val="2"/>
          <w:sz w:val="32"/>
          <w:szCs w:val="32"/>
        </w:rPr>
        <w:t>94.05</w:t>
      </w:r>
      <w:r>
        <w:rPr>
          <w:rFonts w:hint="eastAsia" w:ascii="楷体" w:hAnsi="楷体" w:eastAsia="楷体" w:cs="楷体"/>
          <w:kern w:val="2"/>
          <w:sz w:val="32"/>
          <w:szCs w:val="32"/>
        </w:rPr>
        <w:t>%，下降</w:t>
      </w:r>
      <w:r>
        <w:rPr>
          <w:rFonts w:ascii="楷体" w:hAnsi="楷体" w:eastAsia="楷体" w:cs="楷体"/>
          <w:kern w:val="2"/>
          <w:sz w:val="32"/>
          <w:szCs w:val="32"/>
        </w:rPr>
        <w:t>0.26</w:t>
      </w:r>
      <w:r>
        <w:rPr>
          <w:rFonts w:hint="eastAsia" w:ascii="楷体" w:hAnsi="楷体" w:eastAsia="楷体" w:cs="楷体"/>
          <w:kern w:val="2"/>
          <w:sz w:val="32"/>
          <w:szCs w:val="32"/>
        </w:rPr>
        <w:t>%。</w:t>
      </w:r>
    </w:p>
    <w:p>
      <w:pPr>
        <w:pStyle w:val="5"/>
        <w:spacing w:beforeAutospacing="0" w:afterAutospacing="0" w:line="600" w:lineRule="exact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（二）主要财务指标（截止20</w:t>
      </w:r>
      <w:r>
        <w:rPr>
          <w:rFonts w:ascii="楷体" w:hAnsi="楷体" w:eastAsia="楷体" w:cs="楷体"/>
          <w:kern w:val="2"/>
          <w:sz w:val="32"/>
          <w:szCs w:val="32"/>
        </w:rPr>
        <w:t>21</w:t>
      </w:r>
      <w:r>
        <w:rPr>
          <w:rFonts w:hint="eastAsia" w:ascii="楷体" w:hAnsi="楷体" w:eastAsia="楷体" w:cs="楷体"/>
          <w:kern w:val="2"/>
          <w:sz w:val="32"/>
          <w:szCs w:val="32"/>
        </w:rPr>
        <w:t>年12月末）：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营业收入</w:t>
      </w:r>
      <w:r>
        <w:rPr>
          <w:rFonts w:ascii="楷体" w:hAnsi="楷体" w:eastAsia="楷体" w:cs="楷体"/>
          <w:kern w:val="2"/>
          <w:sz w:val="32"/>
          <w:szCs w:val="32"/>
        </w:rPr>
        <w:t>101066.59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万元，同比增加</w:t>
      </w:r>
      <w:r>
        <w:rPr>
          <w:rFonts w:ascii="楷体" w:hAnsi="楷体" w:eastAsia="楷体" w:cs="楷体"/>
          <w:kern w:val="2"/>
          <w:sz w:val="32"/>
          <w:szCs w:val="32"/>
        </w:rPr>
        <w:t>7966.19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8.56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销售费用</w:t>
      </w:r>
      <w:r>
        <w:rPr>
          <w:rFonts w:ascii="楷体" w:hAnsi="楷体" w:eastAsia="楷体" w:cs="楷体"/>
          <w:kern w:val="2"/>
          <w:sz w:val="32"/>
          <w:szCs w:val="32"/>
        </w:rPr>
        <w:t>287.96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万元，同比减少</w:t>
      </w:r>
      <w:r>
        <w:rPr>
          <w:rFonts w:ascii="楷体" w:hAnsi="楷体" w:eastAsia="楷体" w:cs="楷体"/>
          <w:kern w:val="2"/>
          <w:sz w:val="32"/>
          <w:szCs w:val="32"/>
        </w:rPr>
        <w:t>49.65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万元，减幅</w:t>
      </w:r>
      <w:r>
        <w:rPr>
          <w:rFonts w:ascii="楷体" w:hAnsi="楷体" w:eastAsia="楷体" w:cs="楷体"/>
          <w:kern w:val="2"/>
          <w:sz w:val="32"/>
          <w:szCs w:val="32"/>
        </w:rPr>
        <w:t>14.71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管理费用</w:t>
      </w:r>
      <w:r>
        <w:rPr>
          <w:rFonts w:ascii="楷体" w:hAnsi="楷体" w:eastAsia="楷体" w:cs="楷体"/>
          <w:kern w:val="2"/>
          <w:sz w:val="32"/>
          <w:szCs w:val="32"/>
        </w:rPr>
        <w:t>16081.3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万元，同比增加了</w:t>
      </w:r>
      <w:r>
        <w:rPr>
          <w:rFonts w:ascii="楷体" w:hAnsi="楷体" w:eastAsia="楷体" w:cs="楷体"/>
          <w:kern w:val="2"/>
          <w:sz w:val="32"/>
          <w:szCs w:val="32"/>
        </w:rPr>
        <w:t>3293.04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万元，增幅25.</w:t>
      </w:r>
      <w:r>
        <w:rPr>
          <w:rFonts w:ascii="楷体" w:hAnsi="楷体" w:eastAsia="楷体" w:cs="楷体"/>
          <w:kern w:val="2"/>
          <w:sz w:val="32"/>
          <w:szCs w:val="32"/>
        </w:rPr>
        <w:t>75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财务费用</w:t>
      </w:r>
      <w:r>
        <w:rPr>
          <w:rFonts w:ascii="楷体" w:hAnsi="楷体" w:eastAsia="楷体" w:cs="楷体"/>
          <w:kern w:val="2"/>
          <w:sz w:val="32"/>
          <w:szCs w:val="32"/>
        </w:rPr>
        <w:t>16735.91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万元，同比增加</w:t>
      </w:r>
      <w:r>
        <w:rPr>
          <w:rFonts w:ascii="楷体" w:hAnsi="楷体" w:eastAsia="楷体" w:cs="楷体"/>
          <w:kern w:val="2"/>
          <w:sz w:val="32"/>
          <w:szCs w:val="32"/>
        </w:rPr>
        <w:t>42.34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0.25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　　利润总额</w:t>
      </w:r>
      <w:bookmarkStart w:id="3" w:name="_Hlk101798145"/>
      <w:r>
        <w:rPr>
          <w:rFonts w:ascii="楷体" w:hAnsi="楷体" w:eastAsia="楷体" w:cs="楷体"/>
          <w:kern w:val="2"/>
          <w:sz w:val="32"/>
          <w:szCs w:val="32"/>
        </w:rPr>
        <w:t>9946.41</w:t>
      </w:r>
      <w:bookmarkEnd w:id="3"/>
      <w:r>
        <w:rPr>
          <w:rFonts w:hint="eastAsia" w:ascii="楷体" w:hAnsi="楷体" w:eastAsia="楷体" w:cs="楷体"/>
          <w:kern w:val="2"/>
          <w:sz w:val="32"/>
          <w:szCs w:val="32"/>
        </w:rPr>
        <w:t>万元，同比增加</w:t>
      </w:r>
      <w:r>
        <w:rPr>
          <w:rFonts w:ascii="楷体" w:hAnsi="楷体" w:eastAsia="楷体" w:cs="楷体"/>
          <w:kern w:val="2"/>
          <w:sz w:val="32"/>
          <w:szCs w:val="32"/>
        </w:rPr>
        <w:t>4091.01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万元，增幅</w:t>
      </w:r>
      <w:r>
        <w:rPr>
          <w:rFonts w:ascii="楷体" w:hAnsi="楷体" w:eastAsia="楷体" w:cs="楷体"/>
          <w:kern w:val="2"/>
          <w:sz w:val="32"/>
          <w:szCs w:val="32"/>
        </w:rPr>
        <w:t>69.87</w:t>
      </w:r>
      <w:r>
        <w:rPr>
          <w:rFonts w:hint="eastAsia" w:ascii="楷体" w:hAnsi="楷体" w:eastAsia="楷体" w:cs="楷体"/>
          <w:kern w:val="2"/>
          <w:sz w:val="32"/>
          <w:szCs w:val="32"/>
        </w:rPr>
        <w:t>%；</w:t>
      </w:r>
    </w:p>
    <w:p>
      <w:pPr>
        <w:pStyle w:val="5"/>
        <w:spacing w:beforeAutospacing="0" w:afterAutospacing="0"/>
        <w:ind w:firstLine="645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净利润</w:t>
      </w:r>
      <w:r>
        <w:rPr>
          <w:rFonts w:ascii="楷体" w:hAnsi="楷体" w:eastAsia="楷体" w:cs="楷体"/>
          <w:kern w:val="2"/>
          <w:sz w:val="32"/>
          <w:szCs w:val="32"/>
        </w:rPr>
        <w:t>3745.55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万元，同比减少</w:t>
      </w:r>
      <w:r>
        <w:rPr>
          <w:rFonts w:ascii="楷体" w:hAnsi="楷体" w:eastAsia="楷体" w:cs="楷体"/>
          <w:kern w:val="2"/>
          <w:sz w:val="32"/>
          <w:szCs w:val="32"/>
        </w:rPr>
        <w:t>1207.34</w:t>
      </w:r>
      <w:r>
        <w:rPr>
          <w:rFonts w:hint="eastAsia" w:ascii="楷体" w:hAnsi="楷体" w:eastAsia="楷体" w:cs="楷体"/>
          <w:kern w:val="2"/>
          <w:sz w:val="32"/>
          <w:szCs w:val="32"/>
        </w:rPr>
        <w:t>万元，减幅</w:t>
      </w:r>
      <w:r>
        <w:rPr>
          <w:rFonts w:ascii="楷体" w:hAnsi="楷体" w:eastAsia="楷体" w:cs="楷体"/>
          <w:kern w:val="2"/>
          <w:sz w:val="32"/>
          <w:szCs w:val="32"/>
        </w:rPr>
        <w:t>24.38</w:t>
      </w:r>
      <w:r>
        <w:rPr>
          <w:rFonts w:hint="eastAsia" w:ascii="楷体" w:hAnsi="楷体" w:eastAsia="楷体" w:cs="楷体"/>
          <w:kern w:val="2"/>
          <w:sz w:val="32"/>
          <w:szCs w:val="32"/>
        </w:rPr>
        <w:t>%。</w:t>
      </w:r>
    </w:p>
    <w:p>
      <w:pPr>
        <w:pStyle w:val="5"/>
        <w:ind w:firstLine="645"/>
        <w:rPr>
          <w:rFonts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审计意见：</w:t>
      </w:r>
    </w:p>
    <w:p>
      <w:pPr>
        <w:pStyle w:val="5"/>
        <w:ind w:firstLine="645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2022年1月3日开始中审众环会计师事务所（特殊普通合伙）山西分所对我公司进行财务审计，财务报表包括2021年12月31日的合并及公司资产负债表，2021年度的合并及公司利润表、合并及公司现金流量表、合并及公司所有者权益变动表以及相关财务报表附注。</w:t>
      </w:r>
    </w:p>
    <w:p>
      <w:pPr>
        <w:pStyle w:val="5"/>
        <w:ind w:firstLine="645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中审众环会计师事务所（特殊普通合伙）山西分所审计后认为，</w:t>
      </w:r>
      <w:bookmarkStart w:id="4" w:name="_Hlk104817751"/>
      <w:r>
        <w:rPr>
          <w:rFonts w:hint="eastAsia" w:ascii="楷体" w:hAnsi="楷体" w:eastAsia="楷体" w:cs="楷体"/>
          <w:kern w:val="2"/>
          <w:sz w:val="32"/>
          <w:szCs w:val="32"/>
        </w:rPr>
        <w:t>我公司财务报表</w:t>
      </w:r>
      <w:bookmarkEnd w:id="4"/>
      <w:r>
        <w:rPr>
          <w:rFonts w:hint="eastAsia" w:ascii="楷体" w:hAnsi="楷体" w:eastAsia="楷体" w:cs="楷体"/>
          <w:kern w:val="2"/>
          <w:sz w:val="32"/>
          <w:szCs w:val="32"/>
        </w:rPr>
        <w:t>在所有重大方面按照企业会计准则的规定编制，公允反映了能源投资公司2021年12月31日合并及公司的财务状况以及2021年度合并及公司的经营成果和现金流量。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  <w:lang w:eastAsia="zh-CN"/>
        </w:rPr>
        <w:t>四</w:t>
      </w: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、企业重大改制重组结果</w:t>
      </w:r>
    </w:p>
    <w:p>
      <w:pPr>
        <w:pStyle w:val="5"/>
        <w:widowControl/>
        <w:spacing w:line="600" w:lineRule="exact"/>
        <w:ind w:firstLine="640" w:firstLineChars="20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2</w:t>
      </w:r>
      <w:r>
        <w:rPr>
          <w:rFonts w:ascii="楷体" w:hAnsi="楷体" w:eastAsia="楷体" w:cs="楷体"/>
          <w:kern w:val="2"/>
          <w:sz w:val="32"/>
          <w:szCs w:val="32"/>
        </w:rPr>
        <w:t>021年</w:t>
      </w:r>
      <w:r>
        <w:rPr>
          <w:rFonts w:hint="eastAsia" w:ascii="楷体" w:hAnsi="楷体" w:eastAsia="楷体" w:cs="楷体"/>
          <w:kern w:val="2"/>
          <w:sz w:val="32"/>
          <w:szCs w:val="32"/>
        </w:rPr>
        <w:t>3月2</w:t>
      </w:r>
      <w:r>
        <w:rPr>
          <w:rFonts w:ascii="楷体" w:hAnsi="楷体" w:eastAsia="楷体" w:cs="楷体"/>
          <w:kern w:val="2"/>
          <w:sz w:val="32"/>
          <w:szCs w:val="32"/>
        </w:rPr>
        <w:t>2</w:t>
      </w:r>
      <w:r>
        <w:rPr>
          <w:rFonts w:hint="eastAsia" w:ascii="楷体" w:hAnsi="楷体" w:eastAsia="楷体" w:cs="楷体"/>
          <w:kern w:val="2"/>
          <w:sz w:val="32"/>
          <w:szCs w:val="32"/>
        </w:rPr>
        <w:t>日，根据山西省国有资本运营有限公司晋国资运营函［2021]100号《关于推进山西焦煤集团有限责任公司、晋能控股集团有限公司煤矿资产重组的通知》，晋能控股将所持山西煤炭运销集团能源投资开发有限公司41%股权无偿划转由</w:t>
      </w:r>
      <w:bookmarkStart w:id="5" w:name="_Hlk101709154"/>
      <w:r>
        <w:rPr>
          <w:rFonts w:hint="eastAsia" w:ascii="楷体" w:hAnsi="楷体" w:eastAsia="楷体" w:cs="楷体"/>
          <w:kern w:val="2"/>
          <w:sz w:val="32"/>
          <w:szCs w:val="32"/>
        </w:rPr>
        <w:t>山西焦煤</w:t>
      </w:r>
      <w:bookmarkEnd w:id="5"/>
      <w:r>
        <w:rPr>
          <w:rFonts w:hint="eastAsia" w:ascii="楷体" w:hAnsi="楷体" w:eastAsia="楷体" w:cs="楷体"/>
          <w:kern w:val="2"/>
          <w:sz w:val="32"/>
          <w:szCs w:val="32"/>
        </w:rPr>
        <w:t>持有，山西煤炭运销集团能源投资开发有限公司成为山西焦煤的子公司。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  <w:lang w:eastAsia="zh-CN"/>
        </w:rPr>
        <w:t>五</w:t>
      </w:r>
      <w:r>
        <w:rPr>
          <w:rStyle w:val="9"/>
          <w:rFonts w:ascii="宋体" w:hAnsi="宋体" w:eastAsia="宋体" w:cs="宋体"/>
          <w:color w:val="000000"/>
          <w:sz w:val="32"/>
          <w:szCs w:val="32"/>
        </w:rPr>
        <w:t>、</w:t>
      </w: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通过产权市场转让企业产权和企业增资等信息</w:t>
      </w:r>
    </w:p>
    <w:p>
      <w:pPr>
        <w:pStyle w:val="5"/>
        <w:widowControl/>
        <w:spacing w:line="600" w:lineRule="exact"/>
        <w:ind w:firstLine="640" w:firstLineChars="200"/>
        <w:rPr>
          <w:rFonts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无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  <w:lang w:eastAsia="zh-CN"/>
        </w:rPr>
        <w:t>六</w:t>
      </w: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、有关部门依法要求公开的监督检查问题整改情况、重大突发事件事态发展和应急处置情况</w:t>
      </w:r>
    </w:p>
    <w:p>
      <w:pPr>
        <w:pStyle w:val="5"/>
        <w:widowControl/>
        <w:spacing w:line="600" w:lineRule="exact"/>
        <w:ind w:firstLine="640" w:firstLineChars="200"/>
        <w:rPr>
          <w:rFonts w:ascii="楷体" w:hAnsi="楷体" w:eastAsia="楷体" w:cs="楷体"/>
          <w:b/>
          <w:kern w:val="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无</w:t>
      </w:r>
    </w:p>
    <w:p>
      <w:pPr>
        <w:pStyle w:val="5"/>
        <w:widowControl/>
        <w:spacing w:beforeAutospacing="0" w:afterAutospacing="0" w:line="600" w:lineRule="exact"/>
        <w:ind w:firstLine="643" w:firstLineChars="200"/>
        <w:jc w:val="both"/>
        <w:rPr>
          <w:rStyle w:val="9"/>
          <w:rFonts w:ascii="宋体" w:hAnsi="宋体" w:eastAsia="宋体" w:cs="宋体"/>
          <w:color w:val="000000"/>
          <w:sz w:val="32"/>
          <w:szCs w:val="32"/>
        </w:rPr>
      </w:pPr>
      <w:r>
        <w:rPr>
          <w:rStyle w:val="9"/>
          <w:rFonts w:hint="eastAsia" w:ascii="宋体" w:hAnsi="宋体" w:eastAsia="宋体" w:cs="宋体"/>
          <w:color w:val="000000"/>
          <w:sz w:val="32"/>
          <w:szCs w:val="32"/>
          <w:lang w:eastAsia="zh-CN"/>
        </w:rPr>
        <w:t>七</w:t>
      </w: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、</w:t>
      </w:r>
      <w:r>
        <w:rPr>
          <w:rStyle w:val="9"/>
          <w:rFonts w:ascii="宋体" w:hAnsi="宋体" w:eastAsia="宋体" w:cs="宋体"/>
          <w:color w:val="000000"/>
          <w:sz w:val="32"/>
          <w:szCs w:val="32"/>
        </w:rPr>
        <w:t>企</w:t>
      </w:r>
      <w:r>
        <w:rPr>
          <w:rStyle w:val="9"/>
          <w:rFonts w:hint="eastAsia" w:ascii="宋体" w:hAnsi="宋体" w:eastAsia="宋体" w:cs="宋体"/>
          <w:color w:val="000000"/>
          <w:sz w:val="32"/>
          <w:szCs w:val="32"/>
        </w:rPr>
        <w:t>业履行社会责任情况</w:t>
      </w:r>
    </w:p>
    <w:p>
      <w:pPr>
        <w:pStyle w:val="5"/>
        <w:widowControl/>
        <w:spacing w:beforeAutospacing="0" w:afterAutospacing="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1、20</w:t>
      </w:r>
      <w:r>
        <w:rPr>
          <w:rFonts w:ascii="楷体" w:hAnsi="楷体" w:eastAsia="楷体" w:cs="楷体"/>
          <w:color w:val="000000"/>
          <w:sz w:val="32"/>
          <w:szCs w:val="32"/>
        </w:rPr>
        <w:t>21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年，公司实现营业收入</w:t>
      </w:r>
      <w:r>
        <w:rPr>
          <w:rFonts w:ascii="楷体" w:hAnsi="楷体" w:eastAsia="楷体"/>
          <w:color w:val="000000"/>
          <w:sz w:val="32"/>
          <w:szCs w:val="32"/>
        </w:rPr>
        <w:t>101066.59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万元，资产总额</w:t>
      </w:r>
      <w:r>
        <w:rPr>
          <w:rFonts w:ascii="楷体" w:hAnsi="楷体" w:eastAsia="楷体"/>
          <w:color w:val="000000"/>
          <w:sz w:val="32"/>
          <w:szCs w:val="32"/>
        </w:rPr>
        <w:t>597524.93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万元，实现利润</w:t>
      </w:r>
      <w:r>
        <w:rPr>
          <w:rFonts w:ascii="楷体" w:hAnsi="楷体" w:eastAsia="楷体"/>
          <w:color w:val="000000"/>
          <w:sz w:val="32"/>
          <w:szCs w:val="32"/>
        </w:rPr>
        <w:t>9946.41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万元，上交税费</w:t>
      </w:r>
      <w:r>
        <w:rPr>
          <w:rFonts w:ascii="楷体" w:hAnsi="楷体" w:eastAsia="楷体"/>
          <w:color w:val="000000"/>
          <w:sz w:val="32"/>
          <w:szCs w:val="32"/>
        </w:rPr>
        <w:t>10983.97</w:t>
      </w:r>
      <w:r>
        <w:rPr>
          <w:rFonts w:hint="eastAsia" w:ascii="楷体" w:hAnsi="楷体" w:eastAsia="楷体"/>
          <w:color w:val="000000"/>
          <w:sz w:val="32"/>
          <w:szCs w:val="32"/>
        </w:rPr>
        <w:t>万元。</w:t>
      </w:r>
    </w:p>
    <w:p>
      <w:pPr>
        <w:pStyle w:val="5"/>
        <w:widowControl/>
        <w:spacing w:beforeAutospacing="0" w:afterAutospacing="0"/>
        <w:ind w:firstLine="645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ascii="楷体" w:hAnsi="楷体" w:eastAsia="楷体" w:cs="楷体"/>
          <w:color w:val="000000"/>
          <w:sz w:val="32"/>
          <w:szCs w:val="32"/>
        </w:rPr>
        <w:t>2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、帮助住地农户销售农产品土豆2</w:t>
      </w:r>
      <w:r>
        <w:rPr>
          <w:rFonts w:ascii="楷体" w:hAnsi="楷体" w:eastAsia="楷体" w:cs="楷体"/>
          <w:color w:val="000000"/>
          <w:sz w:val="32"/>
          <w:szCs w:val="32"/>
        </w:rPr>
        <w:t>500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公斤。</w:t>
      </w:r>
    </w:p>
    <w:p>
      <w:pPr>
        <w:pStyle w:val="5"/>
        <w:widowControl/>
        <w:spacing w:beforeAutospacing="0" w:afterAutospacing="0"/>
        <w:ind w:firstLine="645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Style w:val="9"/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八</w:t>
      </w:r>
      <w:r>
        <w:rPr>
          <w:rStyle w:val="9"/>
          <w:rFonts w:hint="eastAsia" w:asciiTheme="minorEastAsia" w:hAnsiTheme="minorEastAsia" w:cstheme="minorEastAsia"/>
          <w:color w:val="000000"/>
          <w:sz w:val="32"/>
          <w:szCs w:val="32"/>
        </w:rPr>
        <w:t>、其他依照法律法规规定应当公开的信息</w:t>
      </w:r>
    </w:p>
    <w:p>
      <w:pPr>
        <w:pStyle w:val="5"/>
        <w:widowControl/>
        <w:spacing w:beforeAutospacing="0" w:afterAutospacing="0"/>
        <w:ind w:firstLine="960" w:firstLineChars="30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ascii="楷体" w:hAnsi="楷体" w:eastAsia="楷体" w:cs="楷体"/>
          <w:color w:val="000000"/>
          <w:sz w:val="32"/>
          <w:szCs w:val="32"/>
        </w:rPr>
        <w:t>无</w:t>
      </w:r>
    </w:p>
    <w:p>
      <w:pPr>
        <w:pStyle w:val="5"/>
        <w:widowControl/>
        <w:spacing w:beforeAutospacing="0" w:afterAutospacing="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　　</w:t>
      </w:r>
    </w:p>
    <w:p>
      <w:pPr>
        <w:pStyle w:val="5"/>
        <w:widowControl/>
        <w:spacing w:beforeAutospacing="0" w:afterAutospacing="0"/>
        <w:jc w:val="both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  <w:bookmarkStart w:id="6" w:name="_GoBack"/>
      <w:bookmarkEnd w:id="6"/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 xml:space="preserve">             山西煤炭运销集团能源投资开发有限公司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 xml:space="preserve">                       202</w:t>
      </w:r>
      <w:r>
        <w:rPr>
          <w:rFonts w:ascii="楷体" w:hAnsi="楷体" w:eastAsia="楷体" w:cs="楷体"/>
          <w:color w:val="000000"/>
          <w:sz w:val="32"/>
          <w:szCs w:val="32"/>
        </w:rPr>
        <w:t>2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年</w:t>
      </w:r>
      <w:r>
        <w:rPr>
          <w:rFonts w:ascii="楷体" w:hAnsi="楷体" w:eastAsia="楷体" w:cs="楷体"/>
          <w:color w:val="000000"/>
          <w:sz w:val="32"/>
          <w:szCs w:val="32"/>
        </w:rPr>
        <w:t>5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月</w:t>
      </w:r>
      <w:r>
        <w:rPr>
          <w:rFonts w:ascii="楷体" w:hAnsi="楷体" w:eastAsia="楷体" w:cs="楷体"/>
          <w:color w:val="000000"/>
          <w:sz w:val="32"/>
          <w:szCs w:val="32"/>
        </w:rPr>
        <w:t>10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日</w:t>
      </w:r>
    </w:p>
    <w:p>
      <w:pPr>
        <w:rPr>
          <w:rFonts w:ascii="楷体" w:hAnsi="楷体" w:eastAsia="楷体" w:cs="楷体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7AF83"/>
    <w:multiLevelType w:val="singleLevel"/>
    <w:tmpl w:val="0A87AF83"/>
    <w:lvl w:ilvl="0" w:tentative="0">
      <w:start w:val="1"/>
      <w:numFmt w:val="chineseCounting"/>
      <w:suff w:val="nothing"/>
      <w:lvlText w:val="（%1）"/>
      <w:lvlJc w:val="left"/>
      <w:pPr>
        <w:ind w:left="642" w:firstLine="0"/>
      </w:pPr>
      <w:rPr>
        <w:rFonts w:hint="eastAsia"/>
      </w:rPr>
    </w:lvl>
  </w:abstractNum>
  <w:abstractNum w:abstractNumId="1">
    <w:nsid w:val="76DB1210"/>
    <w:multiLevelType w:val="multilevel"/>
    <w:tmpl w:val="76DB1210"/>
    <w:lvl w:ilvl="0" w:tentative="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2" w:hanging="420"/>
      </w:pPr>
    </w:lvl>
    <w:lvl w:ilvl="2" w:tentative="0">
      <w:start w:val="1"/>
      <w:numFmt w:val="lowerRoman"/>
      <w:lvlText w:val="%3."/>
      <w:lvlJc w:val="right"/>
      <w:pPr>
        <w:ind w:left="1902" w:hanging="420"/>
      </w:pPr>
    </w:lvl>
    <w:lvl w:ilvl="3" w:tentative="0">
      <w:start w:val="1"/>
      <w:numFmt w:val="decimal"/>
      <w:lvlText w:val="%4."/>
      <w:lvlJc w:val="left"/>
      <w:pPr>
        <w:ind w:left="2322" w:hanging="420"/>
      </w:pPr>
    </w:lvl>
    <w:lvl w:ilvl="4" w:tentative="0">
      <w:start w:val="1"/>
      <w:numFmt w:val="lowerLetter"/>
      <w:lvlText w:val="%5)"/>
      <w:lvlJc w:val="left"/>
      <w:pPr>
        <w:ind w:left="2742" w:hanging="420"/>
      </w:pPr>
    </w:lvl>
    <w:lvl w:ilvl="5" w:tentative="0">
      <w:start w:val="1"/>
      <w:numFmt w:val="lowerRoman"/>
      <w:lvlText w:val="%6."/>
      <w:lvlJc w:val="right"/>
      <w:pPr>
        <w:ind w:left="3162" w:hanging="420"/>
      </w:pPr>
    </w:lvl>
    <w:lvl w:ilvl="6" w:tentative="0">
      <w:start w:val="1"/>
      <w:numFmt w:val="decimal"/>
      <w:lvlText w:val="%7."/>
      <w:lvlJc w:val="left"/>
      <w:pPr>
        <w:ind w:left="3582" w:hanging="420"/>
      </w:pPr>
    </w:lvl>
    <w:lvl w:ilvl="7" w:tentative="0">
      <w:start w:val="1"/>
      <w:numFmt w:val="lowerLetter"/>
      <w:lvlText w:val="%8)"/>
      <w:lvlJc w:val="left"/>
      <w:pPr>
        <w:ind w:left="4002" w:hanging="420"/>
      </w:pPr>
    </w:lvl>
    <w:lvl w:ilvl="8" w:tentative="0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TQ0YzI1MDliZmY5ZmM0NGI0YWI2ZTdiY2I2ZWEifQ=="/>
  </w:docVars>
  <w:rsids>
    <w:rsidRoot w:val="131F749D"/>
    <w:rsid w:val="000060C3"/>
    <w:rsid w:val="000219FE"/>
    <w:rsid w:val="00021BD4"/>
    <w:rsid w:val="0003162A"/>
    <w:rsid w:val="00060572"/>
    <w:rsid w:val="000777F5"/>
    <w:rsid w:val="00077F5C"/>
    <w:rsid w:val="0008638C"/>
    <w:rsid w:val="000873D4"/>
    <w:rsid w:val="0009052D"/>
    <w:rsid w:val="0009116E"/>
    <w:rsid w:val="000925AC"/>
    <w:rsid w:val="000A095C"/>
    <w:rsid w:val="000C0850"/>
    <w:rsid w:val="000D16B6"/>
    <w:rsid w:val="000D2D05"/>
    <w:rsid w:val="000D6CAB"/>
    <w:rsid w:val="000F2436"/>
    <w:rsid w:val="00126DAA"/>
    <w:rsid w:val="00132C14"/>
    <w:rsid w:val="00155BC1"/>
    <w:rsid w:val="001776DC"/>
    <w:rsid w:val="00186A86"/>
    <w:rsid w:val="001B5894"/>
    <w:rsid w:val="001C29C6"/>
    <w:rsid w:val="001D700D"/>
    <w:rsid w:val="00203F29"/>
    <w:rsid w:val="002151D6"/>
    <w:rsid w:val="0022054F"/>
    <w:rsid w:val="00260BB1"/>
    <w:rsid w:val="00263107"/>
    <w:rsid w:val="00325E19"/>
    <w:rsid w:val="0035639C"/>
    <w:rsid w:val="003B2B95"/>
    <w:rsid w:val="003E647F"/>
    <w:rsid w:val="00400804"/>
    <w:rsid w:val="00447980"/>
    <w:rsid w:val="00451E79"/>
    <w:rsid w:val="004801A9"/>
    <w:rsid w:val="00495DA7"/>
    <w:rsid w:val="004E4CF8"/>
    <w:rsid w:val="0057149A"/>
    <w:rsid w:val="005C1676"/>
    <w:rsid w:val="005F082B"/>
    <w:rsid w:val="005F21FF"/>
    <w:rsid w:val="005F2212"/>
    <w:rsid w:val="006459BD"/>
    <w:rsid w:val="006476F6"/>
    <w:rsid w:val="00660D58"/>
    <w:rsid w:val="006745BC"/>
    <w:rsid w:val="00690BBF"/>
    <w:rsid w:val="00691056"/>
    <w:rsid w:val="006C2279"/>
    <w:rsid w:val="006E42D8"/>
    <w:rsid w:val="006E5ECC"/>
    <w:rsid w:val="006F714C"/>
    <w:rsid w:val="007B237E"/>
    <w:rsid w:val="007D68B6"/>
    <w:rsid w:val="007E2064"/>
    <w:rsid w:val="008034DE"/>
    <w:rsid w:val="00830657"/>
    <w:rsid w:val="00850849"/>
    <w:rsid w:val="00850EEB"/>
    <w:rsid w:val="008A5D4F"/>
    <w:rsid w:val="008E0277"/>
    <w:rsid w:val="0090727A"/>
    <w:rsid w:val="0093436D"/>
    <w:rsid w:val="00953FBD"/>
    <w:rsid w:val="00982D10"/>
    <w:rsid w:val="0099371F"/>
    <w:rsid w:val="009C0149"/>
    <w:rsid w:val="009E717A"/>
    <w:rsid w:val="00A21971"/>
    <w:rsid w:val="00A57B02"/>
    <w:rsid w:val="00A703B9"/>
    <w:rsid w:val="00A86729"/>
    <w:rsid w:val="00A93460"/>
    <w:rsid w:val="00AC0943"/>
    <w:rsid w:val="00AF1C67"/>
    <w:rsid w:val="00B15BA6"/>
    <w:rsid w:val="00B20FCF"/>
    <w:rsid w:val="00B23D7A"/>
    <w:rsid w:val="00B27EB1"/>
    <w:rsid w:val="00B3687E"/>
    <w:rsid w:val="00B42CEA"/>
    <w:rsid w:val="00B90E91"/>
    <w:rsid w:val="00BA74AD"/>
    <w:rsid w:val="00BC0227"/>
    <w:rsid w:val="00BC0E98"/>
    <w:rsid w:val="00BC325E"/>
    <w:rsid w:val="00C03338"/>
    <w:rsid w:val="00C32570"/>
    <w:rsid w:val="00C6757B"/>
    <w:rsid w:val="00C835DE"/>
    <w:rsid w:val="00CA243A"/>
    <w:rsid w:val="00CF42BB"/>
    <w:rsid w:val="00D2292D"/>
    <w:rsid w:val="00D61768"/>
    <w:rsid w:val="00D70427"/>
    <w:rsid w:val="00D8120E"/>
    <w:rsid w:val="00D82376"/>
    <w:rsid w:val="00D96E3E"/>
    <w:rsid w:val="00DE7F75"/>
    <w:rsid w:val="00E1643B"/>
    <w:rsid w:val="00EA3281"/>
    <w:rsid w:val="00EA3C80"/>
    <w:rsid w:val="00EB534B"/>
    <w:rsid w:val="00EC11A8"/>
    <w:rsid w:val="00EF0F79"/>
    <w:rsid w:val="00EF1410"/>
    <w:rsid w:val="00F102ED"/>
    <w:rsid w:val="00F10E35"/>
    <w:rsid w:val="00F27A20"/>
    <w:rsid w:val="00F41845"/>
    <w:rsid w:val="00F729AC"/>
    <w:rsid w:val="00F80375"/>
    <w:rsid w:val="00FA1AFA"/>
    <w:rsid w:val="00FD7639"/>
    <w:rsid w:val="00FE1A91"/>
    <w:rsid w:val="00FE2A5E"/>
    <w:rsid w:val="09EF11AC"/>
    <w:rsid w:val="12E54B0B"/>
    <w:rsid w:val="131F749D"/>
    <w:rsid w:val="18BA0AD6"/>
    <w:rsid w:val="1A0568E3"/>
    <w:rsid w:val="26874B98"/>
    <w:rsid w:val="274230E0"/>
    <w:rsid w:val="28C147E4"/>
    <w:rsid w:val="28FE5644"/>
    <w:rsid w:val="2AC914E7"/>
    <w:rsid w:val="2E2E2FB7"/>
    <w:rsid w:val="32786953"/>
    <w:rsid w:val="37356BBD"/>
    <w:rsid w:val="385D6119"/>
    <w:rsid w:val="39CD4975"/>
    <w:rsid w:val="3C987FCA"/>
    <w:rsid w:val="43641629"/>
    <w:rsid w:val="43F929BD"/>
    <w:rsid w:val="45D926B9"/>
    <w:rsid w:val="4A890D46"/>
    <w:rsid w:val="4F556353"/>
    <w:rsid w:val="56D0640A"/>
    <w:rsid w:val="660240BE"/>
    <w:rsid w:val="681D1D2E"/>
    <w:rsid w:val="7990096F"/>
    <w:rsid w:val="7CB071E1"/>
    <w:rsid w:val="7CB63F12"/>
    <w:rsid w:val="7E4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bjh-p"/>
    <w:qFormat/>
    <w:uiPriority w:val="0"/>
  </w:style>
  <w:style w:type="character" w:customStyle="1" w:styleId="11">
    <w:name w:val="NormalCharacter"/>
    <w:semiHidden/>
    <w:qFormat/>
    <w:uiPriority w:val="0"/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1EB9E-659E-47A5-9892-5AF3C9610C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2605</Words>
  <Characters>3754</Characters>
  <Lines>30</Lines>
  <Paragraphs>8</Paragraphs>
  <TotalTime>394</TotalTime>
  <ScaleCrop>false</ScaleCrop>
  <LinksUpToDate>false</LinksUpToDate>
  <CharactersWithSpaces>3887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2020-05-18T01:39:00Z</dcterms:created>
  <dc:creator>志强</dc:creator>
  <cp:lastModifiedBy>乔</cp:lastModifiedBy>
  <cp:lastPrinted>2022-05-10T09:22:00Z</cp:lastPrinted>
  <dcterms:modified xsi:type="dcterms:W3CDTF">2022-07-15T03:30:23Z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3FF6249CF2464AB4959E7D249E25D1EF</vt:lpwstr>
  </property>
</Properties>
</file>